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rPr>
          <w:rFonts w:hint="default" w:ascii="Times New Roman" w:hAnsi="Times New Roman" w:eastAsia="黑体" w:cs="Times New Roman"/>
          <w:b/>
          <w:sz w:val="28"/>
          <w:szCs w:val="28"/>
        </w:rPr>
      </w:pPr>
      <w:bookmarkStart w:id="0" w:name="SectionMark4"/>
      <w:bookmarkStart w:id="1" w:name="_Toc234726149"/>
      <w:r>
        <w:rPr>
          <w:rFonts w:hint="default" w:ascii="Times New Roman" w:hAnsi="Times New Roman" w:eastAsia="黑体" w:cs="Times New Roman"/>
          <w:b/>
          <w:sz w:val="52"/>
          <w:szCs w:val="22"/>
        </w:rPr>
        <w:drawing>
          <wp:anchor distT="0" distB="0" distL="114300" distR="114300" simplePos="0" relativeHeight="251662336" behindDoc="1" locked="0" layoutInCell="1" allowOverlap="1">
            <wp:simplePos x="0" y="0"/>
            <wp:positionH relativeFrom="column">
              <wp:posOffset>-1141095</wp:posOffset>
            </wp:positionH>
            <wp:positionV relativeFrom="paragraph">
              <wp:posOffset>-904875</wp:posOffset>
            </wp:positionV>
            <wp:extent cx="7594600" cy="2705735"/>
            <wp:effectExtent l="0" t="0" r="6350" b="18415"/>
            <wp:wrapTight wrapText="bothSides">
              <wp:wrapPolygon>
                <wp:start x="0" y="0"/>
                <wp:lineTo x="0" y="21443"/>
                <wp:lineTo x="21564" y="21443"/>
                <wp:lineTo x="21564" y="0"/>
                <wp:lineTo x="0" y="0"/>
              </wp:wrapPolygon>
            </wp:wrapTight>
            <wp:docPr id="17"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78" descr="模板-3"/>
                    <pic:cNvPicPr>
                      <a:picLocks noChangeAspect="1"/>
                    </pic:cNvPicPr>
                  </pic:nvPicPr>
                  <pic:blipFill>
                    <a:blip r:embed="rId14"/>
                    <a:srcRect l="499" t="710"/>
                    <a:stretch>
                      <a:fillRect/>
                    </a:stretch>
                  </pic:blipFill>
                  <pic:spPr>
                    <a:xfrm>
                      <a:off x="0" y="0"/>
                      <a:ext cx="7594600" cy="2705735"/>
                    </a:xfrm>
                    <a:prstGeom prst="rect">
                      <a:avLst/>
                    </a:prstGeom>
                    <a:noFill/>
                    <a:ln>
                      <a:noFill/>
                    </a:ln>
                  </pic:spPr>
                </pic:pic>
              </a:graphicData>
            </a:graphic>
          </wp:anchor>
        </w:drawing>
      </w:r>
      <w:r>
        <w:rPr>
          <w:rFonts w:hint="default" w:ascii="Times New Roman" w:hAnsi="Times New Roman" w:cs="Times New Roman"/>
          <w:b/>
          <w:spacing w:val="-20"/>
          <w:sz w:val="24"/>
        </w:rPr>
        <w:t xml:space="preserve">     </w:t>
      </w:r>
      <w:r>
        <w:rPr>
          <w:rFonts w:hint="default" w:ascii="Times New Roman" w:hAnsi="Times New Roman" w:cs="Times New Roman"/>
          <w:sz w:val="28"/>
          <w:szCs w:val="28"/>
        </w:rPr>
        <w:t xml:space="preserve">                  </w:t>
      </w:r>
      <w:bookmarkStart w:id="2" w:name="_Toc208823333"/>
      <w:bookmarkStart w:id="3" w:name="_Toc239218200"/>
      <w:bookmarkStart w:id="4" w:name="_Toc209342124"/>
      <w:bookmarkStart w:id="5" w:name="_Toc208823419"/>
      <w:bookmarkStart w:id="6" w:name="_Toc224794098"/>
      <w:bookmarkStart w:id="7" w:name="_Toc208823249"/>
    </w:p>
    <w:p>
      <w:pPr>
        <w:spacing w:before="634" w:beforeLines="200"/>
        <w:jc w:val="center"/>
        <w:rPr>
          <w:rFonts w:hint="default" w:ascii="Times New Roman" w:hAnsi="Times New Roman" w:eastAsia="黑体" w:cs="Times New Roman"/>
          <w:b/>
          <w:color w:val="auto"/>
          <w:sz w:val="52"/>
          <w:szCs w:val="22"/>
          <w:highlight w:val="none"/>
        </w:rPr>
      </w:pPr>
      <w:r>
        <w:rPr>
          <w:rFonts w:hint="default" w:ascii="Times New Roman" w:hAnsi="Times New Roman" w:eastAsia="黑体" w:cs="Times New Roman"/>
          <w:b/>
          <w:color w:val="auto"/>
          <w:sz w:val="52"/>
          <w:szCs w:val="22"/>
          <w:highlight w:val="none"/>
        </w:rPr>
        <w:t>10kV干式</w:t>
      </w:r>
      <w:r>
        <w:rPr>
          <w:rFonts w:hint="default" w:ascii="Times New Roman" w:hAnsi="Times New Roman" w:eastAsia="黑体" w:cs="Times New Roman"/>
          <w:b/>
          <w:color w:val="auto"/>
          <w:sz w:val="52"/>
          <w:szCs w:val="22"/>
          <w:highlight w:val="none"/>
          <w:lang w:val="en-US" w:eastAsia="zh-CN"/>
        </w:rPr>
        <w:t>铜绕组</w:t>
      </w:r>
      <w:r>
        <w:rPr>
          <w:rFonts w:hint="default" w:ascii="Times New Roman" w:hAnsi="Times New Roman" w:eastAsia="黑体" w:cs="Times New Roman"/>
          <w:b/>
          <w:color w:val="auto"/>
          <w:sz w:val="52"/>
          <w:szCs w:val="22"/>
          <w:highlight w:val="none"/>
        </w:rPr>
        <w:t>配电变压器</w:t>
      </w:r>
    </w:p>
    <w:p>
      <w:pPr>
        <w:spacing w:before="634" w:beforeLines="200"/>
        <w:jc w:val="center"/>
        <w:rPr>
          <w:rFonts w:hint="default" w:ascii="Times New Roman" w:hAnsi="Times New Roman" w:eastAsia="黑体" w:cs="Times New Roman"/>
          <w:b/>
          <w:color w:val="auto"/>
          <w:sz w:val="52"/>
          <w:szCs w:val="22"/>
          <w:highlight w:val="none"/>
        </w:rPr>
      </w:pPr>
      <w:r>
        <w:rPr>
          <w:rFonts w:hint="default" w:ascii="Times New Roman" w:hAnsi="Times New Roman" w:eastAsia="黑体" w:cs="Times New Roman"/>
          <w:b/>
          <w:color w:val="auto"/>
          <w:sz w:val="52"/>
          <w:szCs w:val="22"/>
          <w:highlight w:val="none"/>
        </w:rPr>
        <w:t>技术规范书</w:t>
      </w:r>
    </w:p>
    <w:p>
      <w:pPr>
        <w:spacing w:before="634" w:beforeLines="200"/>
        <w:jc w:val="center"/>
        <w:rPr>
          <w:rFonts w:hint="default" w:ascii="Times New Roman" w:hAnsi="Times New Roman" w:eastAsia="黑体" w:cs="Times New Roman"/>
          <w:b/>
          <w:color w:val="auto"/>
          <w:sz w:val="52"/>
          <w:szCs w:val="22"/>
          <w:highlight w:val="none"/>
        </w:rPr>
      </w:pPr>
      <w:r>
        <w:rPr>
          <w:rFonts w:hint="default" w:ascii="Times New Roman" w:hAnsi="Times New Roman" w:eastAsia="黑体" w:cs="Times New Roman"/>
          <w:b/>
          <w:color w:val="auto"/>
          <w:sz w:val="52"/>
          <w:szCs w:val="22"/>
          <w:highlight w:val="none"/>
        </w:rPr>
        <w:t>（通用部分）</w:t>
      </w:r>
    </w:p>
    <w:p>
      <w:pPr>
        <w:spacing w:before="634" w:beforeLines="200" w:line="360" w:lineRule="auto"/>
        <w:ind w:left="723" w:hanging="723" w:hangingChars="200"/>
        <w:jc w:val="center"/>
        <w:rPr>
          <w:rFonts w:hint="default" w:ascii="Times New Roman" w:hAnsi="Times New Roman" w:eastAsia="黑体" w:cs="Times New Roman"/>
          <w:b/>
          <w:color w:val="auto"/>
          <w:sz w:val="36"/>
          <w:highlight w:val="none"/>
        </w:rPr>
      </w:pPr>
      <w:r>
        <w:rPr>
          <w:rFonts w:hint="default" w:ascii="Times New Roman" w:hAnsi="Times New Roman" w:eastAsia="黑体" w:cs="Times New Roman"/>
          <w:b/>
          <w:color w:val="auto"/>
          <w:sz w:val="36"/>
          <w:highlight w:val="none"/>
        </w:rPr>
        <w:t>版本号：202</w:t>
      </w:r>
      <w:r>
        <w:rPr>
          <w:rFonts w:hint="default" w:ascii="Times New Roman" w:hAnsi="Times New Roman" w:eastAsia="黑体" w:cs="Times New Roman"/>
          <w:b/>
          <w:color w:val="auto"/>
          <w:sz w:val="36"/>
          <w:highlight w:val="none"/>
          <w:lang w:val="en-US" w:eastAsia="zh-CN"/>
        </w:rPr>
        <w:t>5</w:t>
      </w:r>
      <w:r>
        <w:rPr>
          <w:rFonts w:hint="default" w:ascii="Times New Roman" w:hAnsi="Times New Roman" w:eastAsia="黑体" w:cs="Times New Roman"/>
          <w:b/>
          <w:color w:val="auto"/>
          <w:sz w:val="36"/>
          <w:highlight w:val="none"/>
        </w:rPr>
        <w:t>版</w:t>
      </w:r>
    </w:p>
    <w:p>
      <w:pPr>
        <w:spacing w:line="360" w:lineRule="auto"/>
        <w:ind w:firstLine="2530" w:firstLineChars="700"/>
        <w:rPr>
          <w:rFonts w:hint="default" w:ascii="Times New Roman" w:hAnsi="Times New Roman" w:eastAsia="黑体" w:cs="Times New Roman"/>
          <w:b/>
          <w:color w:val="auto"/>
          <w:sz w:val="36"/>
          <w:highlight w:val="none"/>
        </w:rPr>
      </w:pPr>
    </w:p>
    <w:p>
      <w:pPr>
        <w:spacing w:line="360" w:lineRule="auto"/>
        <w:ind w:firstLine="1530" w:firstLineChars="343"/>
        <w:jc w:val="left"/>
        <w:rPr>
          <w:rFonts w:hint="default" w:ascii="Times New Roman" w:hAnsi="Times New Roman" w:eastAsia="黑体" w:cs="Times New Roman"/>
          <w:b/>
          <w:color w:val="auto"/>
          <w:spacing w:val="20"/>
          <w:w w:val="135"/>
          <w:sz w:val="30"/>
          <w:szCs w:val="20"/>
          <w:highlight w:val="none"/>
        </w:rPr>
      </w:pPr>
    </w:p>
    <w:p>
      <w:pPr>
        <w:spacing w:line="360" w:lineRule="auto"/>
        <w:ind w:firstLine="1530" w:firstLineChars="343"/>
        <w:jc w:val="left"/>
        <w:rPr>
          <w:rFonts w:hint="default" w:ascii="Times New Roman" w:hAnsi="Times New Roman" w:eastAsia="黑体" w:cs="Times New Roman"/>
          <w:b/>
          <w:color w:val="auto"/>
          <w:spacing w:val="20"/>
          <w:w w:val="135"/>
          <w:sz w:val="30"/>
          <w:szCs w:val="20"/>
          <w:highlight w:val="none"/>
        </w:rPr>
      </w:pPr>
    </w:p>
    <w:p>
      <w:pPr>
        <w:spacing w:line="360" w:lineRule="auto"/>
        <w:ind w:firstLine="1530" w:firstLineChars="343"/>
        <w:jc w:val="left"/>
        <w:rPr>
          <w:rFonts w:hint="default" w:ascii="Times New Roman" w:hAnsi="Times New Roman" w:eastAsia="黑体" w:cs="Times New Roman"/>
          <w:b/>
          <w:color w:val="auto"/>
          <w:spacing w:val="20"/>
          <w:w w:val="135"/>
          <w:sz w:val="30"/>
          <w:szCs w:val="20"/>
          <w:highlight w:val="none"/>
        </w:rPr>
      </w:pPr>
    </w:p>
    <w:p>
      <w:pPr>
        <w:snapToGrid w:val="0"/>
        <w:spacing w:before="634" w:beforeLines="200"/>
        <w:jc w:val="center"/>
        <w:rPr>
          <w:rFonts w:hint="default" w:ascii="Times New Roman" w:hAnsi="Times New Roman" w:eastAsia="黑体" w:cs="Times New Roman"/>
          <w:b/>
          <w:color w:val="auto"/>
          <w:spacing w:val="20"/>
          <w:w w:val="135"/>
          <w:sz w:val="30"/>
          <w:highlight w:val="none"/>
        </w:rPr>
      </w:pPr>
      <w:r>
        <w:rPr>
          <w:rFonts w:hint="default" w:ascii="Times New Roman" w:hAnsi="Times New Roman" w:eastAsia="黑体" w:cs="Times New Roman"/>
          <w:b/>
          <w:color w:val="auto"/>
          <w:spacing w:val="20"/>
          <w:w w:val="135"/>
          <w:sz w:val="30"/>
          <w:highlight w:val="none"/>
        </w:rPr>
        <w:t>中国南方电网有限责任公司</w:t>
      </w:r>
    </w:p>
    <w:p>
      <w:pPr>
        <w:snapToGrid w:val="0"/>
        <w:spacing w:before="634" w:beforeLines="200"/>
        <w:jc w:val="center"/>
        <w:rPr>
          <w:rFonts w:hint="default" w:ascii="Times New Roman" w:hAnsi="Times New Roman" w:eastAsia="黑体" w:cs="Times New Roman"/>
          <w:b/>
          <w:color w:val="auto"/>
          <w:spacing w:val="20"/>
          <w:w w:val="135"/>
          <w:sz w:val="30"/>
          <w:highlight w:val="none"/>
        </w:rPr>
      </w:pPr>
      <w:r>
        <w:rPr>
          <w:rFonts w:hint="default" w:ascii="Times New Roman" w:hAnsi="Times New Roman" w:eastAsia="黑体" w:cs="Times New Roman"/>
          <w:b/>
          <w:color w:val="auto"/>
          <w:spacing w:val="20"/>
          <w:w w:val="135"/>
          <w:sz w:val="30"/>
          <w:highlight w:val="none"/>
        </w:rPr>
        <w:t>202</w:t>
      </w:r>
      <w:r>
        <w:rPr>
          <w:rFonts w:hint="default" w:ascii="Times New Roman" w:hAnsi="Times New Roman" w:eastAsia="黑体" w:cs="Times New Roman"/>
          <w:b/>
          <w:color w:val="auto"/>
          <w:spacing w:val="20"/>
          <w:w w:val="135"/>
          <w:sz w:val="30"/>
          <w:highlight w:val="none"/>
          <w:lang w:val="en-US" w:eastAsia="zh-CN"/>
        </w:rPr>
        <w:t>5</w:t>
      </w:r>
      <w:r>
        <w:rPr>
          <w:rFonts w:hint="default" w:ascii="Times New Roman" w:hAnsi="Times New Roman" w:eastAsia="黑体" w:cs="Times New Roman"/>
          <w:b/>
          <w:color w:val="auto"/>
          <w:spacing w:val="20"/>
          <w:w w:val="135"/>
          <w:sz w:val="30"/>
          <w:highlight w:val="none"/>
        </w:rPr>
        <w:t>年</w:t>
      </w:r>
      <w:r>
        <w:rPr>
          <w:rFonts w:hint="default" w:ascii="Times New Roman" w:hAnsi="Times New Roman" w:eastAsia="黑体" w:cs="Times New Roman"/>
          <w:b/>
          <w:color w:val="auto"/>
          <w:spacing w:val="20"/>
          <w:w w:val="135"/>
          <w:sz w:val="30"/>
          <w:highlight w:val="none"/>
          <w:lang w:val="en-US" w:eastAsia="zh-CN"/>
        </w:rPr>
        <w:t>7</w:t>
      </w:r>
      <w:r>
        <w:rPr>
          <w:rFonts w:hint="default" w:ascii="Times New Roman" w:hAnsi="Times New Roman" w:eastAsia="黑体" w:cs="Times New Roman"/>
          <w:b/>
          <w:color w:val="auto"/>
          <w:spacing w:val="20"/>
          <w:w w:val="135"/>
          <w:sz w:val="30"/>
          <w:highlight w:val="none"/>
        </w:rPr>
        <w:t>月</w:t>
      </w:r>
    </w:p>
    <w:p>
      <w:pPr>
        <w:spacing w:line="360" w:lineRule="auto"/>
        <w:rPr>
          <w:rFonts w:hint="default" w:ascii="Times New Roman" w:hAnsi="Times New Roman" w:eastAsia="黑体" w:cs="Times New Roman"/>
          <w:b/>
          <w:color w:val="auto"/>
          <w:szCs w:val="28"/>
          <w:highlight w:val="none"/>
        </w:rPr>
        <w:sectPr>
          <w:headerReference r:id="rId5" w:type="first"/>
          <w:headerReference r:id="rId3" w:type="default"/>
          <w:footerReference r:id="rId6" w:type="default"/>
          <w:headerReference r:id="rId4" w:type="even"/>
          <w:footerReference r:id="rId7" w:type="even"/>
          <w:pgSz w:w="11907" w:h="16840"/>
          <w:pgMar w:top="1440" w:right="1797" w:bottom="1440" w:left="1797" w:header="720" w:footer="720" w:gutter="0"/>
          <w:pgBorders>
            <w:top w:val="none" w:sz="0" w:space="0"/>
            <w:left w:val="none" w:sz="0" w:space="0"/>
            <w:bottom w:val="none" w:sz="0" w:space="0"/>
            <w:right w:val="none" w:sz="0" w:space="0"/>
          </w:pgBorders>
          <w:pgNumType w:fmt="decimal" w:start="1"/>
          <w:cols w:space="720" w:num="1"/>
          <w:titlePg/>
          <w:docGrid w:type="lines" w:linePitch="317" w:charSpace="0"/>
        </w:sectPr>
      </w:pPr>
    </w:p>
    <w:bookmarkEnd w:id="2"/>
    <w:bookmarkEnd w:id="3"/>
    <w:bookmarkEnd w:id="4"/>
    <w:bookmarkEnd w:id="5"/>
    <w:bookmarkEnd w:id="6"/>
    <w:bookmarkEnd w:id="7"/>
    <w:p>
      <w:pPr>
        <w:spacing w:before="312" w:beforeLines="100" w:line="560" w:lineRule="exact"/>
        <w:ind w:left="9" w:firstLine="3027" w:firstLineChars="688"/>
        <w:rPr>
          <w:rFonts w:hint="default" w:ascii="Times New Roman" w:hAnsi="Times New Roman" w:cs="Times New Roman"/>
          <w:bCs/>
          <w:color w:val="auto"/>
          <w:sz w:val="44"/>
          <w:szCs w:val="44"/>
          <w:highlight w:val="none"/>
        </w:rPr>
      </w:pPr>
      <w:bookmarkStart w:id="8" w:name="FLDZDTM"/>
      <w:bookmarkEnd w:id="8"/>
      <w:r>
        <w:rPr>
          <w:rFonts w:hint="default" w:ascii="Times New Roman" w:hAnsi="Times New Roman" w:eastAsia="方正小标宋_GBK" w:cs="Times New Roman"/>
          <w:bCs/>
          <w:color w:val="auto"/>
          <w:sz w:val="44"/>
          <w:szCs w:val="44"/>
          <w:highlight w:val="none"/>
        </w:rPr>
        <w:t>知识产权声明</w:t>
      </w:r>
    </w:p>
    <w:p>
      <w:pPr>
        <w:spacing w:line="560" w:lineRule="exact"/>
        <w:ind w:left="9" w:firstLine="607" w:firstLineChars="189"/>
        <w:jc w:val="center"/>
        <w:rPr>
          <w:rFonts w:hint="default" w:ascii="Times New Roman" w:hAnsi="Times New Roman" w:cs="Times New Roman"/>
          <w:b/>
          <w:color w:val="auto"/>
          <w:sz w:val="32"/>
          <w:szCs w:val="32"/>
          <w:highlight w:val="none"/>
        </w:rPr>
      </w:pPr>
    </w:p>
    <w:p>
      <w:pPr>
        <w:spacing w:line="560" w:lineRule="exact"/>
        <w:ind w:left="9" w:firstLine="604" w:firstLineChars="18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9" w:firstLine="529" w:firstLineChars="189"/>
        <w:rPr>
          <w:rFonts w:hint="default" w:ascii="Times New Roman" w:hAnsi="Times New Roman" w:cs="Times New Roman"/>
          <w:color w:val="auto"/>
          <w:sz w:val="28"/>
          <w:szCs w:val="28"/>
          <w:highlight w:val="none"/>
        </w:rPr>
      </w:pPr>
    </w:p>
    <w:p>
      <w:pPr>
        <w:spacing w:line="560" w:lineRule="exact"/>
        <w:ind w:left="9" w:firstLine="529" w:firstLineChars="189"/>
        <w:rPr>
          <w:rFonts w:hint="default" w:ascii="Times New Roman" w:hAnsi="Times New Roman" w:cs="Times New Roman"/>
          <w:color w:val="auto"/>
          <w:sz w:val="28"/>
          <w:szCs w:val="28"/>
          <w:highlight w:val="none"/>
        </w:rPr>
      </w:pPr>
    </w:p>
    <w:p>
      <w:pPr>
        <w:spacing w:line="560" w:lineRule="exact"/>
        <w:ind w:firstLine="1760" w:firstLineChars="400"/>
        <w:rPr>
          <w:rFonts w:hint="default" w:ascii="Times New Roman" w:hAnsi="Times New Roman" w:cs="Times New Roman"/>
          <w:color w:val="auto"/>
          <w:sz w:val="44"/>
          <w:szCs w:val="44"/>
          <w:highlight w:val="none"/>
        </w:rPr>
      </w:pPr>
      <w:r>
        <w:rPr>
          <w:rFonts w:hint="default" w:ascii="Times New Roman" w:hAnsi="Times New Roman" w:cs="Times New Roman"/>
          <w:color w:val="auto"/>
          <w:sz w:val="44"/>
          <w:szCs w:val="44"/>
          <w:highlight w:val="none"/>
        </w:rPr>
        <w:t xml:space="preserve">Intellectual Property Rights </w:t>
      </w:r>
    </w:p>
    <w:p>
      <w:pPr>
        <w:spacing w:line="560" w:lineRule="exact"/>
        <w:ind w:firstLine="3520" w:firstLineChars="800"/>
        <w:rPr>
          <w:rFonts w:hint="default" w:ascii="Times New Roman" w:hAnsi="Times New Roman" w:cs="Times New Roman"/>
          <w:color w:val="auto"/>
          <w:sz w:val="44"/>
          <w:szCs w:val="44"/>
          <w:highlight w:val="none"/>
        </w:rPr>
      </w:pPr>
      <w:r>
        <w:rPr>
          <w:rFonts w:hint="default" w:ascii="Times New Roman" w:hAnsi="Times New Roman" w:cs="Times New Roman"/>
          <w:color w:val="auto"/>
          <w:sz w:val="44"/>
          <w:szCs w:val="44"/>
          <w:highlight w:val="none"/>
        </w:rPr>
        <w:t>Statement</w:t>
      </w:r>
    </w:p>
    <w:p>
      <w:pPr>
        <w:spacing w:line="560" w:lineRule="exact"/>
        <w:ind w:left="9" w:firstLine="604" w:firstLineChars="189"/>
        <w:rPr>
          <w:rFonts w:hint="default" w:ascii="Times New Roman" w:hAnsi="Times New Roman" w:cs="Times New Roman"/>
          <w:color w:val="auto"/>
          <w:sz w:val="32"/>
          <w:szCs w:val="32"/>
          <w:highlight w:val="none"/>
        </w:rPr>
      </w:pPr>
    </w:p>
    <w:p>
      <w:pPr>
        <w:spacing w:line="560" w:lineRule="exact"/>
        <w:ind w:left="9" w:firstLine="604" w:firstLineChars="189"/>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hint="default" w:ascii="Times New Roman" w:hAnsi="Times New Roman" w:eastAsia="黑体" w:cs="Times New Roman"/>
          <w:color w:val="auto"/>
          <w:sz w:val="32"/>
          <w:szCs w:val="28"/>
          <w:highlight w:val="none"/>
        </w:rPr>
      </w:pPr>
      <w:r>
        <w:rPr>
          <w:rFonts w:hint="default" w:ascii="Times New Roman" w:hAnsi="Times New Roman" w:eastAsia="黑体" w:cs="Times New Roman"/>
          <w:color w:val="auto"/>
          <w:sz w:val="32"/>
          <w:szCs w:val="28"/>
          <w:highlight w:val="none"/>
        </w:rPr>
        <w:br w:type="page"/>
      </w:r>
    </w:p>
    <w:p>
      <w:pPr>
        <w:spacing w:line="360" w:lineRule="auto"/>
        <w:jc w:val="center"/>
        <w:rPr>
          <w:rFonts w:hint="default" w:ascii="Times New Roman" w:hAnsi="Times New Roman" w:eastAsia="黑体" w:cs="Times New Roman"/>
          <w:color w:val="auto"/>
          <w:sz w:val="32"/>
          <w:szCs w:val="28"/>
          <w:highlight w:val="none"/>
        </w:rPr>
      </w:pPr>
      <w:r>
        <w:rPr>
          <w:rFonts w:hint="default" w:ascii="Times New Roman" w:hAnsi="Times New Roman" w:eastAsia="黑体" w:cs="Times New Roman"/>
          <w:color w:val="auto"/>
          <w:sz w:val="32"/>
          <w:szCs w:val="28"/>
          <w:highlight w:val="none"/>
        </w:rPr>
        <w:t>本规范对应的专用技术规范书目录</w:t>
      </w:r>
    </w:p>
    <w:tbl>
      <w:tblPr>
        <w:tblStyle w:val="19"/>
        <w:tblW w:w="856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56"/>
        <w:gridCol w:w="3772"/>
        <w:gridCol w:w="37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56" w:type="dxa"/>
          </w:tcPr>
          <w:p>
            <w:pPr>
              <w:spacing w:line="360" w:lineRule="auto"/>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序号</w:t>
            </w:r>
          </w:p>
        </w:tc>
        <w:tc>
          <w:tcPr>
            <w:tcW w:w="3772" w:type="dxa"/>
          </w:tcPr>
          <w:p>
            <w:pPr>
              <w:spacing w:line="360" w:lineRule="auto"/>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名称</w:t>
            </w:r>
          </w:p>
        </w:tc>
        <w:tc>
          <w:tcPr>
            <w:tcW w:w="3735" w:type="dxa"/>
          </w:tcPr>
          <w:p>
            <w:pPr>
              <w:spacing w:line="360" w:lineRule="auto"/>
              <w:jc w:val="center"/>
              <w:rPr>
                <w:rFonts w:hint="default" w:ascii="Times New Roman" w:hAnsi="Times New Roman" w:cs="Times New Roman"/>
                <w:color w:val="auto"/>
                <w:szCs w:val="21"/>
                <w:highlight w:val="none"/>
              </w:rPr>
            </w:pPr>
            <w:r>
              <w:rPr>
                <w:rFonts w:hint="default" w:ascii="Times New Roman" w:hAnsi="Times New Roman" w:cs="Times New Roman"/>
                <w:color w:val="auto"/>
                <w:sz w:val="24"/>
                <w:highlight w:val="none"/>
              </w:rPr>
              <w:t>品类优化清单对应型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5" w:hRule="atLeast"/>
        </w:trPr>
        <w:tc>
          <w:tcPr>
            <w:tcW w:w="1056" w:type="dxa"/>
            <w:vAlign w:val="center"/>
          </w:tcPr>
          <w:p>
            <w:pPr>
              <w:spacing w:line="360" w:lineRule="auto"/>
              <w:jc w:val="center"/>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w:t>
            </w:r>
          </w:p>
        </w:tc>
        <w:tc>
          <w:tcPr>
            <w:tcW w:w="3772" w:type="dxa"/>
            <w:vAlign w:val="center"/>
          </w:tcPr>
          <w:p>
            <w:pPr>
              <w:spacing w:line="360" w:lineRule="auto"/>
              <w:jc w:val="both"/>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10kV干式铜绕组配电变压器技术规范书</w:t>
            </w:r>
            <w:r>
              <w:rPr>
                <w:rFonts w:hint="default" w:ascii="Times New Roman" w:hAnsi="Times New Roman" w:cs="Times New Roman"/>
                <w:color w:val="auto"/>
                <w:szCs w:val="21"/>
                <w:highlight w:val="none"/>
                <w:lang w:eastAsia="zh-CN"/>
              </w:rPr>
              <w:t>（专用部分）</w:t>
            </w:r>
          </w:p>
        </w:tc>
        <w:tc>
          <w:tcPr>
            <w:tcW w:w="3735" w:type="dxa"/>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SC(H)B14-630/10-NX2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SC(H)B14-800/10-NX2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SC(H)B14-1250/10-NX2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SC(H)B14-1600/10-NX2</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SC(H)B18-630/10-NX1</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SC(H)B18-800/10-NX1</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lang w:eastAsia="zh-CN"/>
              </w:rPr>
            </w:pPr>
            <w:r>
              <w:rPr>
                <w:rFonts w:hint="default" w:ascii="Times New Roman" w:hAnsi="Times New Roman" w:cs="Times New Roman"/>
              </w:rPr>
              <w:t>SC(H)B18-1250/10-NX1</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rPr>
            </w:pPr>
            <w:r>
              <w:rPr>
                <w:rFonts w:hint="default" w:ascii="Times New Roman" w:hAnsi="Times New Roman" w:cs="Times New Roman"/>
              </w:rPr>
              <w:t>SC(H)B18-1600/10-NX1</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SGB14-630/10-NX2</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SGB14-800/10-NX2</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SGB14-1250/10-NX2</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SGB14-1600/10-NX2</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SGB18-630/10-NX1</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SGB18-800/10-NX1</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SGB18-1250/10-NX1</w:t>
            </w:r>
          </w:p>
          <w:p>
            <w:pPr>
              <w:pStyle w:val="2"/>
              <w:keepNext w:val="0"/>
              <w:keepLines w:val="0"/>
              <w:pageBreakBefore w:val="0"/>
              <w:widowControl w:val="0"/>
              <w:kinsoku/>
              <w:wordWrap/>
              <w:overflowPunct/>
              <w:topLinePunct w:val="0"/>
              <w:autoSpaceDE/>
              <w:autoSpaceDN/>
              <w:bidi w:val="0"/>
              <w:adjustRightInd/>
              <w:snapToGrid/>
              <w:spacing w:after="0" w:afterLines="0" w:line="240" w:lineRule="auto"/>
              <w:textAlignment w:val="auto"/>
              <w:rPr>
                <w:rFonts w:hint="default" w:ascii="Times New Roman" w:hAnsi="Times New Roman" w:cs="Times New Roman"/>
              </w:rPr>
            </w:pPr>
            <w:r>
              <w:rPr>
                <w:rFonts w:hint="default" w:ascii="Times New Roman" w:hAnsi="Times New Roman" w:cs="Times New Roman"/>
              </w:rPr>
              <w:t>SGB18-1600/10-NX1</w:t>
            </w:r>
          </w:p>
        </w:tc>
      </w:tr>
    </w:tbl>
    <w:p>
      <w:pPr>
        <w:pStyle w:val="17"/>
        <w:adjustRightInd w:val="0"/>
        <w:spacing w:before="640" w:after="560" w:line="480" w:lineRule="exact"/>
        <w:jc w:val="both"/>
        <w:textAlignment w:val="baseline"/>
        <w:outlineLvl w:val="9"/>
        <w:rPr>
          <w:rFonts w:hint="default" w:ascii="Times New Roman" w:hAnsi="Times New Roman" w:cs="Times New Roman"/>
          <w:color w:val="auto"/>
          <w:kern w:val="21"/>
          <w:szCs w:val="21"/>
          <w:highlight w:val="none"/>
        </w:rPr>
        <w:sectPr>
          <w:headerReference r:id="rId8" w:type="default"/>
          <w:footerReference r:id="rId9" w:type="default"/>
          <w:pgSz w:w="11907" w:h="16839"/>
          <w:pgMar w:top="1440" w:right="1780" w:bottom="1440" w:left="1780" w:header="720" w:footer="720" w:gutter="0"/>
          <w:pgBorders>
            <w:top w:val="none" w:sz="0" w:space="0"/>
            <w:left w:val="none" w:sz="0" w:space="0"/>
            <w:bottom w:val="none" w:sz="0" w:space="0"/>
            <w:right w:val="none" w:sz="0" w:space="0"/>
          </w:pgBorders>
          <w:pgNumType w:fmt="decimal"/>
          <w:cols w:space="720" w:num="1"/>
          <w:docGrid w:type="lines" w:linePitch="312" w:charSpace="0"/>
        </w:sectPr>
      </w:pPr>
    </w:p>
    <w:sdt>
      <w:sdtPr>
        <w:rPr>
          <w:rFonts w:hint="default" w:ascii="Times New Roman" w:hAnsi="Times New Roman" w:eastAsia="宋体" w:cs="Times New Roman"/>
          <w:kern w:val="2"/>
          <w:sz w:val="21"/>
          <w:szCs w:val="24"/>
          <w:lang w:val="en-US" w:eastAsia="zh-CN" w:bidi="ar-SA"/>
        </w:rPr>
        <w:id w:val="147477345"/>
        <w15:color w:val="DBDBDB"/>
        <w:docPartObj>
          <w:docPartGallery w:val="Table of Contents"/>
          <w:docPartUnique/>
        </w:docPartObj>
      </w:sdtPr>
      <w:sdtEndPr>
        <w:rPr>
          <w:rFonts w:hint="default" w:ascii="Times New Roman" w:hAnsi="Times New Roman" w:eastAsia="宋体" w:cs="Times New Roman"/>
          <w:b/>
          <w:bCs/>
          <w:color w:val="auto"/>
          <w:kern w:val="2"/>
          <w:sz w:val="32"/>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rPr>
          </w:pPr>
          <w:r>
            <w:rPr>
              <w:rFonts w:hint="default" w:ascii="Times New Roman" w:hAnsi="Times New Roman" w:eastAsia="黑体" w:cs="Times New Roman"/>
              <w:sz w:val="36"/>
              <w:szCs w:val="36"/>
            </w:rPr>
            <w:t>目</w:t>
          </w:r>
          <w:r>
            <w:rPr>
              <w:rFonts w:hint="default" w:ascii="Times New Roman" w:hAnsi="Times New Roman" w:eastAsia="黑体" w:cs="Times New Roman"/>
              <w:sz w:val="36"/>
              <w:szCs w:val="36"/>
              <w:lang w:val="en-US" w:eastAsia="zh-CN"/>
            </w:rPr>
            <w:t xml:space="preserve">   </w:t>
          </w:r>
          <w:r>
            <w:rPr>
              <w:rFonts w:hint="default" w:ascii="Times New Roman" w:hAnsi="Times New Roman" w:eastAsia="黑体" w:cs="Times New Roman"/>
              <w:sz w:val="36"/>
              <w:szCs w:val="36"/>
            </w:rPr>
            <w:t>录</w:t>
          </w:r>
        </w:p>
        <w:p>
          <w:pPr>
            <w:pStyle w:val="15"/>
            <w:tabs>
              <w:tab w:val="right" w:leader="dot" w:pos="8347"/>
            </w:tabs>
            <w:rPr>
              <w:rFonts w:hint="default" w:ascii="Times New Roman" w:hAnsi="Times New Roman" w:eastAsia="宋体" w:cs="Times New Roman"/>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TOC \o "1-2" \h \u </w:instrText>
          </w:r>
          <w:r>
            <w:rPr>
              <w:rFonts w:hint="default" w:ascii="Times New Roman" w:hAnsi="Times New Roman" w:cs="Times New Roman"/>
              <w:color w:val="auto"/>
              <w:highlight w:val="none"/>
            </w:rPr>
            <w:fldChar w:fldCharType="separate"/>
          </w: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_Toc1129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 xml:space="preserve">1 </w:t>
          </w:r>
          <w:r>
            <w:rPr>
              <w:rFonts w:hint="default" w:ascii="Times New Roman" w:hAnsi="Times New Roman" w:eastAsia="宋体" w:cs="Times New Roman"/>
              <w:highlight w:val="none"/>
            </w:rPr>
            <w:t xml:space="preserve"> 总则</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_Toc1129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_Toc6962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 xml:space="preserve">2  </w:t>
          </w:r>
          <w:r>
            <w:rPr>
              <w:rFonts w:hint="default" w:ascii="Times New Roman" w:hAnsi="Times New Roman" w:eastAsia="宋体" w:cs="Times New Roman"/>
              <w:highlight w:val="none"/>
            </w:rPr>
            <w:t>工作范围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_Toc6962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_Toc9031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2.1</w:t>
          </w:r>
          <w:r>
            <w:rPr>
              <w:rFonts w:hint="default" w:ascii="Times New Roman" w:hAnsi="Times New Roman" w:eastAsia="宋体" w:cs="Times New Roman"/>
              <w:highlight w:val="none"/>
            </w:rPr>
            <w:t xml:space="preserve"> 范围和界限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_Toc9031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_Toc21355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2.2</w:t>
          </w:r>
          <w:r>
            <w:rPr>
              <w:rFonts w:hint="default" w:ascii="Times New Roman" w:hAnsi="Times New Roman" w:eastAsia="宋体" w:cs="Times New Roman"/>
              <w:highlight w:val="none"/>
            </w:rPr>
            <w:t xml:space="preserve"> 服务范围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_Toc21355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_Toc8395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3</w:t>
          </w:r>
          <w:r>
            <w:rPr>
              <w:rFonts w:hint="default" w:ascii="Times New Roman" w:hAnsi="Times New Roman" w:eastAsia="宋体" w:cs="Times New Roman"/>
              <w:highlight w:val="none"/>
            </w:rPr>
            <w:t xml:space="preserve">  应遵循的主要标准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_Toc8395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_Toc14962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 xml:space="preserve">4 </w:t>
          </w:r>
          <w:r>
            <w:rPr>
              <w:rFonts w:hint="default" w:ascii="Times New Roman" w:hAnsi="Times New Roman" w:eastAsia="宋体" w:cs="Times New Roman"/>
              <w:highlight w:val="none"/>
            </w:rPr>
            <w:t xml:space="preserve"> 使用条件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_Toc14962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_Toc22164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4.</w:t>
          </w:r>
          <w:r>
            <w:rPr>
              <w:rFonts w:hint="default" w:ascii="Times New Roman" w:hAnsi="Times New Roman" w:eastAsia="宋体" w:cs="Times New Roman"/>
              <w:bCs/>
              <w:highlight w:val="none"/>
              <w:lang w:val="en-US" w:eastAsia="zh-CN"/>
            </w:rPr>
            <w:t>1</w:t>
          </w:r>
          <w:r>
            <w:rPr>
              <w:rFonts w:hint="default" w:ascii="Times New Roman" w:hAnsi="Times New Roman" w:eastAsia="宋体" w:cs="Times New Roman"/>
              <w:highlight w:val="none"/>
            </w:rPr>
            <w:t xml:space="preserve"> 特殊环境条件的规定</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_Toc22164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_Toc15262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szCs w:val="21"/>
              <w:highlight w:val="none"/>
            </w:rPr>
            <w:t>4.</w:t>
          </w:r>
          <w:r>
            <w:rPr>
              <w:rFonts w:hint="default" w:ascii="Times New Roman" w:hAnsi="Times New Roman" w:eastAsia="宋体" w:cs="Times New Roman"/>
              <w:bCs/>
              <w:szCs w:val="21"/>
              <w:highlight w:val="none"/>
              <w:lang w:val="en-US" w:eastAsia="zh-CN"/>
            </w:rPr>
            <w:t>2</w:t>
          </w:r>
          <w:r>
            <w:rPr>
              <w:rFonts w:hint="default" w:ascii="Times New Roman" w:hAnsi="Times New Roman" w:eastAsia="宋体" w:cs="Times New Roman"/>
              <w:szCs w:val="21"/>
              <w:highlight w:val="none"/>
            </w:rPr>
            <w:t xml:space="preserve"> 系统条件要求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_Toc15262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_Toc16928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5</w:t>
          </w:r>
          <w:r>
            <w:rPr>
              <w:rFonts w:hint="default" w:ascii="Times New Roman" w:hAnsi="Times New Roman" w:eastAsia="宋体" w:cs="Times New Roman"/>
              <w:highlight w:val="none"/>
            </w:rPr>
            <w:t xml:space="preserve">  技术要求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_Toc16928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_Toc10217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5.1</w:t>
          </w:r>
          <w:r>
            <w:rPr>
              <w:rFonts w:hint="default" w:ascii="Times New Roman" w:hAnsi="Times New Roman" w:eastAsia="宋体" w:cs="Times New Roman"/>
              <w:highlight w:val="none"/>
            </w:rPr>
            <w:t xml:space="preserve"> 技术参数</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_Toc10217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_Toc31764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 xml:space="preserve">5.2 </w:t>
          </w:r>
          <w:r>
            <w:rPr>
              <w:rFonts w:hint="default" w:ascii="Times New Roman" w:hAnsi="Times New Roman" w:eastAsia="宋体" w:cs="Times New Roman"/>
              <w:highlight w:val="none"/>
            </w:rPr>
            <w:t>设计和结构要求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_Toc31764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ind w:firstLine="630" w:firstLineChars="300"/>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_Toc23214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5.2.1</w:t>
          </w:r>
          <w:r>
            <w:rPr>
              <w:rFonts w:hint="default" w:ascii="Times New Roman" w:hAnsi="Times New Roman" w:eastAsia="宋体" w:cs="Times New Roman"/>
              <w:highlight w:val="none"/>
            </w:rPr>
            <w:t xml:space="preserve"> </w:t>
          </w:r>
          <w:r>
            <w:rPr>
              <w:rFonts w:hint="default" w:ascii="Times New Roman" w:hAnsi="Times New Roman" w:eastAsia="宋体" w:cs="Times New Roman"/>
              <w:bCs/>
              <w:highlight w:val="none"/>
            </w:rPr>
            <w:t>一般要求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_Toc23214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ind w:firstLine="630" w:firstLineChars="300"/>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_Toc21921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5.2.2 干式配电变压器技术要求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_Toc21921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_Toc23407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5.3</w:t>
          </w:r>
          <w:r>
            <w:rPr>
              <w:rFonts w:hint="default" w:ascii="Times New Roman" w:hAnsi="Times New Roman" w:eastAsia="宋体" w:cs="Times New Roman"/>
              <w:highlight w:val="none"/>
            </w:rPr>
            <w:t xml:space="preserve"> 焊接质量要求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_Toc23407 \h </w:instrText>
          </w:r>
          <w:r>
            <w:rPr>
              <w:rFonts w:hint="default" w:ascii="Times New Roman" w:hAnsi="Times New Roman" w:eastAsia="宋体" w:cs="Times New Roman"/>
            </w:rPr>
            <w:fldChar w:fldCharType="separate"/>
          </w:r>
          <w:r>
            <w:rPr>
              <w:rFonts w:hint="default" w:ascii="Times New Roman" w:hAnsi="Times New Roman" w:eastAsia="宋体" w:cs="Times New Roman"/>
            </w:rPr>
            <w:t>9</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_Toc20547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 xml:space="preserve">6 </w:t>
          </w:r>
          <w:r>
            <w:rPr>
              <w:rFonts w:hint="default" w:ascii="Times New Roman" w:hAnsi="Times New Roman" w:eastAsia="宋体" w:cs="Times New Roman"/>
              <w:highlight w:val="none"/>
            </w:rPr>
            <w:t xml:space="preserve"> 试验要求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_Toc20547 \h </w:instrText>
          </w:r>
          <w:r>
            <w:rPr>
              <w:rFonts w:hint="default" w:ascii="Times New Roman" w:hAnsi="Times New Roman" w:eastAsia="宋体" w:cs="Times New Roman"/>
            </w:rPr>
            <w:fldChar w:fldCharType="separate"/>
          </w:r>
          <w:r>
            <w:rPr>
              <w:rFonts w:hint="default" w:ascii="Times New Roman" w:hAnsi="Times New Roman" w:eastAsia="宋体" w:cs="Times New Roman"/>
            </w:rPr>
            <w:t>9</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_Toc1260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6.1</w:t>
          </w:r>
          <w:r>
            <w:rPr>
              <w:rFonts w:hint="default" w:ascii="Times New Roman" w:hAnsi="Times New Roman" w:eastAsia="宋体" w:cs="Times New Roman"/>
              <w:highlight w:val="none"/>
            </w:rPr>
            <w:t xml:space="preserve"> 试验项目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_Toc1260 \h </w:instrText>
          </w:r>
          <w:r>
            <w:rPr>
              <w:rFonts w:hint="default" w:ascii="Times New Roman" w:hAnsi="Times New Roman" w:eastAsia="宋体" w:cs="Times New Roman"/>
            </w:rPr>
            <w:fldChar w:fldCharType="separate"/>
          </w:r>
          <w:r>
            <w:rPr>
              <w:rFonts w:hint="default" w:ascii="Times New Roman" w:hAnsi="Times New Roman" w:eastAsia="宋体" w:cs="Times New Roman"/>
            </w:rPr>
            <w:t>9</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_Toc7732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6.2</w:t>
          </w:r>
          <w:r>
            <w:rPr>
              <w:rFonts w:hint="default" w:ascii="Times New Roman" w:hAnsi="Times New Roman" w:eastAsia="宋体" w:cs="Times New Roman"/>
              <w:highlight w:val="none"/>
            </w:rPr>
            <w:t xml:space="preserve"> 试验方法及要求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_Toc7732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ind w:firstLine="630" w:firstLineChars="300"/>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_Toc6789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rPr>
            <w:t>6.2.1</w:t>
          </w:r>
          <w:r>
            <w:rPr>
              <w:rFonts w:hint="default" w:ascii="Times New Roman" w:hAnsi="Times New Roman" w:eastAsia="宋体" w:cs="Times New Roman"/>
              <w:highlight w:val="none"/>
            </w:rPr>
            <w:t xml:space="preserve"> </w:t>
          </w:r>
          <w:r>
            <w:rPr>
              <w:rFonts w:hint="default" w:ascii="Times New Roman" w:hAnsi="Times New Roman" w:eastAsia="宋体" w:cs="Times New Roman"/>
              <w:bCs/>
              <w:highlight w:val="none"/>
            </w:rPr>
            <w:t>关键材料检测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_Toc6789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_Toc17225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7</w:t>
          </w:r>
          <w:r>
            <w:rPr>
              <w:rFonts w:hint="default" w:ascii="Times New Roman" w:hAnsi="Times New Roman" w:eastAsia="宋体" w:cs="Times New Roman"/>
              <w:highlight w:val="none"/>
            </w:rPr>
            <w:t xml:space="preserve">  企业VI标识</w:t>
          </w:r>
          <w:r>
            <w:rPr>
              <w:rFonts w:hint="default" w:ascii="Times New Roman" w:hAnsi="Times New Roman" w:eastAsia="宋体" w:cs="Times New Roman"/>
              <w:highlight w:val="none"/>
              <w:lang w:eastAsia="zh-CN"/>
            </w:rPr>
            <w:t>及</w:t>
          </w:r>
          <w:r>
            <w:rPr>
              <w:rFonts w:hint="default" w:ascii="Times New Roman" w:hAnsi="Times New Roman" w:eastAsia="宋体" w:cs="Times New Roman"/>
              <w:highlight w:val="none"/>
              <w:lang w:val="en-US" w:eastAsia="zh-CN"/>
            </w:rPr>
            <w:t>RFID电子标签</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_Toc17225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_Toc19779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7</w:t>
          </w:r>
          <w:r>
            <w:rPr>
              <w:rFonts w:hint="default" w:ascii="Times New Roman" w:hAnsi="Times New Roman" w:eastAsia="宋体" w:cs="Times New Roman"/>
              <w:bCs/>
              <w:highlight w:val="none"/>
            </w:rPr>
            <w:t>.1</w:t>
          </w:r>
          <w:r>
            <w:rPr>
              <w:rFonts w:hint="default" w:ascii="Times New Roman" w:hAnsi="Times New Roman" w:eastAsia="宋体" w:cs="Times New Roman"/>
              <w:highlight w:val="none"/>
            </w:rPr>
            <w:t xml:space="preserve"> VI标识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_Toc19779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_Toc18995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highlight w:val="none"/>
              <w:lang w:val="en-US" w:eastAsia="zh-CN"/>
            </w:rPr>
            <w:t xml:space="preserve">7.2 </w:t>
          </w:r>
          <w:r>
            <w:rPr>
              <w:rFonts w:hint="default" w:ascii="Times New Roman" w:hAnsi="Times New Roman" w:eastAsia="宋体" w:cs="Times New Roman"/>
              <w:bCs/>
              <w:highlight w:val="none"/>
              <w:lang w:val="en-US" w:eastAsia="zh-CN"/>
            </w:rPr>
            <w:t>RFID 电子标签</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_Toc18995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_Toc19386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szCs w:val="20"/>
              <w:highlight w:val="none"/>
            </w:rPr>
            <w:t>8</w:t>
          </w:r>
          <w:r>
            <w:rPr>
              <w:rFonts w:hint="default" w:ascii="Times New Roman" w:hAnsi="Times New Roman" w:eastAsia="宋体" w:cs="Times New Roman"/>
              <w:szCs w:val="20"/>
              <w:highlight w:val="none"/>
              <w:lang w:val="en-US" w:eastAsia="zh-CN"/>
            </w:rPr>
            <w:t xml:space="preserve"> </w:t>
          </w:r>
          <w:r>
            <w:rPr>
              <w:rFonts w:hint="default" w:ascii="Times New Roman" w:hAnsi="Times New Roman" w:eastAsia="宋体" w:cs="Times New Roman"/>
              <w:szCs w:val="20"/>
              <w:highlight w:val="none"/>
            </w:rPr>
            <w:t>电气及土建接口</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_Toc19386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_Toc17231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8</w:t>
          </w:r>
          <w:r>
            <w:rPr>
              <w:rFonts w:hint="default" w:ascii="Times New Roman" w:hAnsi="Times New Roman" w:eastAsia="宋体" w:cs="Times New Roman"/>
              <w:bCs/>
              <w:highlight w:val="none"/>
            </w:rPr>
            <w:t>.1</w:t>
          </w:r>
          <w:r>
            <w:rPr>
              <w:rFonts w:hint="default" w:ascii="Times New Roman" w:hAnsi="Times New Roman" w:eastAsia="宋体" w:cs="Times New Roman"/>
              <w:highlight w:val="none"/>
            </w:rPr>
            <w:t xml:space="preserve"> 电气一次接口</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_Toc17231 \h </w:instrText>
          </w:r>
          <w:r>
            <w:rPr>
              <w:rFonts w:hint="default" w:ascii="Times New Roman" w:hAnsi="Times New Roman" w:eastAsia="宋体" w:cs="Times New Roman"/>
            </w:rPr>
            <w:fldChar w:fldCharType="separate"/>
          </w:r>
          <w:r>
            <w:rPr>
              <w:rFonts w:hint="default" w:ascii="Times New Roman" w:hAnsi="Times New Roman" w:eastAsia="宋体" w:cs="Times New Roman"/>
            </w:rPr>
            <w:t>11</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_Toc30853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8</w:t>
          </w:r>
          <w:r>
            <w:rPr>
              <w:rFonts w:hint="default" w:ascii="Times New Roman" w:hAnsi="Times New Roman" w:eastAsia="宋体" w:cs="Times New Roman"/>
              <w:bCs/>
              <w:highlight w:val="none"/>
            </w:rPr>
            <w:t>.2</w:t>
          </w:r>
          <w:r>
            <w:rPr>
              <w:rFonts w:hint="default" w:ascii="Times New Roman" w:hAnsi="Times New Roman" w:eastAsia="宋体" w:cs="Times New Roman"/>
              <w:highlight w:val="none"/>
            </w:rPr>
            <w:t xml:space="preserve"> 电气二次接口</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_Toc30853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_Toc5047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8</w:t>
          </w:r>
          <w:r>
            <w:rPr>
              <w:rFonts w:hint="default" w:ascii="Times New Roman" w:hAnsi="Times New Roman" w:eastAsia="宋体" w:cs="Times New Roman"/>
              <w:bCs/>
              <w:highlight w:val="none"/>
            </w:rPr>
            <w:t>.3</w:t>
          </w:r>
          <w:r>
            <w:rPr>
              <w:rFonts w:hint="default" w:ascii="Times New Roman" w:hAnsi="Times New Roman" w:eastAsia="宋体" w:cs="Times New Roman"/>
              <w:highlight w:val="none"/>
            </w:rPr>
            <w:t xml:space="preserve"> 土建接口</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_Toc5047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_Toc9618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szCs w:val="20"/>
              <w:highlight w:val="none"/>
            </w:rPr>
            <w:t>9</w:t>
          </w:r>
          <w:r>
            <w:rPr>
              <w:rFonts w:hint="default" w:ascii="Times New Roman" w:hAnsi="Times New Roman" w:eastAsia="宋体" w:cs="Times New Roman"/>
              <w:bCs/>
              <w:szCs w:val="20"/>
              <w:highlight w:val="none"/>
              <w:lang w:val="en-US" w:eastAsia="zh-CN"/>
            </w:rPr>
            <w:t xml:space="preserve"> </w:t>
          </w:r>
          <w:r>
            <w:rPr>
              <w:rFonts w:hint="default" w:ascii="Times New Roman" w:hAnsi="Times New Roman" w:eastAsia="宋体" w:cs="Times New Roman"/>
              <w:bCs/>
              <w:szCs w:val="20"/>
              <w:highlight w:val="none"/>
            </w:rPr>
            <w:t>监造、运输、质量保证及其他要求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_Toc9618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_Toc18904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9</w:t>
          </w:r>
          <w:r>
            <w:rPr>
              <w:rFonts w:hint="default" w:ascii="Times New Roman" w:hAnsi="Times New Roman" w:eastAsia="宋体" w:cs="Times New Roman"/>
              <w:bCs/>
              <w:highlight w:val="none"/>
            </w:rPr>
            <w:t>.1</w:t>
          </w:r>
          <w:r>
            <w:rPr>
              <w:rFonts w:hint="default" w:ascii="Times New Roman" w:hAnsi="Times New Roman" w:eastAsia="宋体" w:cs="Times New Roman"/>
              <w:highlight w:val="none"/>
            </w:rPr>
            <w:t xml:space="preserve"> 起吊</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_Toc18904 \h </w:instrText>
          </w:r>
          <w:r>
            <w:rPr>
              <w:rFonts w:hint="default" w:ascii="Times New Roman" w:hAnsi="Times New Roman" w:eastAsia="宋体" w:cs="Times New Roman"/>
            </w:rPr>
            <w:fldChar w:fldCharType="separate"/>
          </w:r>
          <w:r>
            <w:rPr>
              <w:rFonts w:hint="default" w:ascii="Times New Roman" w:hAnsi="Times New Roman" w:eastAsia="宋体" w:cs="Times New Roman"/>
            </w:rPr>
            <w:t>14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_Toc757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9</w:t>
          </w:r>
          <w:r>
            <w:rPr>
              <w:rFonts w:hint="default" w:ascii="Times New Roman" w:hAnsi="Times New Roman" w:eastAsia="宋体" w:cs="Times New Roman"/>
              <w:bCs/>
              <w:highlight w:val="none"/>
            </w:rPr>
            <w:t>.2</w:t>
          </w:r>
          <w:r>
            <w:rPr>
              <w:rFonts w:hint="default" w:ascii="Times New Roman" w:hAnsi="Times New Roman" w:eastAsia="宋体" w:cs="Times New Roman"/>
              <w:highlight w:val="none"/>
            </w:rPr>
            <w:t xml:space="preserve"> 包装</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_Toc757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14</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_Toc2948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9</w:t>
          </w:r>
          <w:r>
            <w:rPr>
              <w:rFonts w:hint="default" w:ascii="Times New Roman" w:hAnsi="Times New Roman" w:eastAsia="宋体" w:cs="Times New Roman"/>
              <w:bCs/>
              <w:highlight w:val="none"/>
            </w:rPr>
            <w:t>.3</w:t>
          </w:r>
          <w:r>
            <w:rPr>
              <w:rFonts w:hint="default" w:ascii="Times New Roman" w:hAnsi="Times New Roman" w:eastAsia="宋体" w:cs="Times New Roman"/>
              <w:highlight w:val="none"/>
            </w:rPr>
            <w:t xml:space="preserve"> 运输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_Toc2948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15</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_Toc9491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9</w:t>
          </w:r>
          <w:r>
            <w:rPr>
              <w:rFonts w:hint="default" w:ascii="Times New Roman" w:hAnsi="Times New Roman" w:eastAsia="宋体" w:cs="Times New Roman"/>
              <w:bCs/>
              <w:highlight w:val="none"/>
            </w:rPr>
            <w:t xml:space="preserve">.4 </w:t>
          </w:r>
          <w:r>
            <w:rPr>
              <w:rFonts w:hint="default" w:ascii="Times New Roman" w:hAnsi="Times New Roman" w:eastAsia="宋体" w:cs="Times New Roman"/>
              <w:highlight w:val="none"/>
            </w:rPr>
            <w:t>安装指导</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_Toc9491 \h </w:instrText>
          </w:r>
          <w:r>
            <w:rPr>
              <w:rFonts w:hint="default" w:ascii="Times New Roman" w:hAnsi="Times New Roman" w:eastAsia="宋体" w:cs="Times New Roman"/>
            </w:rPr>
            <w:fldChar w:fldCharType="separate"/>
          </w:r>
          <w:r>
            <w:rPr>
              <w:rFonts w:hint="default" w:ascii="Times New Roman" w:hAnsi="Times New Roman" w:eastAsia="宋体" w:cs="Times New Roman"/>
            </w:rPr>
            <w:t>15</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_Toc4580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highlight w:val="none"/>
              <w:lang w:val="en-US" w:eastAsia="zh-CN"/>
            </w:rPr>
            <w:t>9</w:t>
          </w:r>
          <w:r>
            <w:rPr>
              <w:rFonts w:hint="default" w:ascii="Times New Roman" w:hAnsi="Times New Roman" w:eastAsia="宋体" w:cs="Times New Roman"/>
              <w:bCs/>
              <w:highlight w:val="none"/>
            </w:rPr>
            <w:t>.5</w:t>
          </w:r>
          <w:r>
            <w:rPr>
              <w:rFonts w:hint="default" w:ascii="Times New Roman" w:hAnsi="Times New Roman" w:eastAsia="宋体" w:cs="Times New Roman"/>
              <w:highlight w:val="none"/>
            </w:rPr>
            <w:t xml:space="preserve"> 质量保证</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_Toc4580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15</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6"/>
            <w:tabs>
              <w:tab w:val="right" w:leader="dot" w:pos="8347"/>
            </w:tabs>
            <w:rPr>
              <w:rFonts w:hint="default" w:ascii="Times New Roman" w:hAnsi="Times New Roman" w:eastAsia="宋体" w:cs="Times New Roman"/>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_Toc25956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bCs/>
              <w:spacing w:val="0"/>
              <w:kern w:val="0"/>
              <w:szCs w:val="20"/>
              <w:highlight w:val="none"/>
              <w:lang w:val="en-US" w:eastAsia="zh-CN"/>
            </w:rPr>
            <w:t xml:space="preserve">9.6 </w:t>
          </w:r>
          <w:r>
            <w:rPr>
              <w:rFonts w:hint="default" w:ascii="Times New Roman" w:hAnsi="Times New Roman" w:eastAsia="宋体" w:cs="Times New Roman"/>
              <w:bCs/>
              <w:highlight w:val="none"/>
            </w:rPr>
            <w:t>技术文件要求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_Toc25956 \h </w:instrText>
          </w:r>
          <w:r>
            <w:rPr>
              <w:rFonts w:hint="default" w:ascii="Times New Roman" w:hAnsi="Times New Roman" w:eastAsia="宋体" w:cs="Times New Roman"/>
            </w:rPr>
            <w:fldChar w:fldCharType="separate"/>
          </w:r>
          <w:r>
            <w:rPr>
              <w:rFonts w:hint="default" w:ascii="Times New Roman" w:hAnsi="Times New Roman" w:eastAsia="宋体" w:cs="Times New Roman"/>
            </w:rPr>
            <w:t>16</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5"/>
            <w:tabs>
              <w:tab w:val="right" w:leader="dot" w:pos="8347"/>
            </w:tabs>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highlight w:val="none"/>
            </w:rPr>
            <w:instrText xml:space="preserve"> HYPERLINK \l _Toc2490 </w:instrText>
          </w:r>
          <w:r>
            <w:rPr>
              <w:rFonts w:hint="default" w:ascii="Times New Roman" w:hAnsi="Times New Roman" w:eastAsia="宋体" w:cs="Times New Roman"/>
              <w:highlight w:val="none"/>
            </w:rPr>
            <w:fldChar w:fldCharType="separate"/>
          </w:r>
          <w:r>
            <w:rPr>
              <w:rFonts w:hint="default" w:ascii="Times New Roman" w:hAnsi="Times New Roman" w:eastAsia="宋体" w:cs="Times New Roman"/>
              <w:highlight w:val="none"/>
            </w:rPr>
            <w:t>附录A 铭牌示意图</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_Toc2490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17</w:t>
          </w:r>
          <w:r>
            <w:rPr>
              <w:rFonts w:hint="default" w:ascii="Times New Roman" w:hAnsi="Times New Roman" w:eastAsia="宋体" w:cs="Times New Roman"/>
            </w:rPr>
            <w:fldChar w:fldCharType="end"/>
          </w:r>
          <w:r>
            <w:rPr>
              <w:rFonts w:hint="default" w:ascii="Times New Roman" w:hAnsi="Times New Roman" w:eastAsia="宋体" w:cs="Times New Roman"/>
              <w:color w:val="auto"/>
              <w:highlight w:val="none"/>
            </w:rPr>
            <w:fldChar w:fldCharType="end"/>
          </w:r>
        </w:p>
        <w:p>
          <w:pPr>
            <w:pStyle w:val="17"/>
            <w:keepNext w:val="0"/>
            <w:keepLines w:val="0"/>
            <w:pageBreakBefore w:val="0"/>
            <w:widowControl w:val="0"/>
            <w:tabs>
              <w:tab w:val="left" w:pos="420"/>
              <w:tab w:val="right" w:leader="dot" w:pos="9288"/>
            </w:tabs>
            <w:kinsoku/>
            <w:wordWrap/>
            <w:overflowPunct/>
            <w:topLinePunct w:val="0"/>
            <w:autoSpaceDE/>
            <w:autoSpaceDN/>
            <w:bidi w:val="0"/>
            <w:adjustRightInd w:val="0"/>
            <w:snapToGrid/>
            <w:spacing w:before="640" w:after="560"/>
            <w:jc w:val="center"/>
            <w:textAlignment w:val="baseline"/>
            <w:outlineLvl w:val="9"/>
            <w:rPr>
              <w:rFonts w:hint="default" w:ascii="Times New Roman" w:hAnsi="Times New Roman" w:cs="Times New Roman"/>
              <w:color w:val="auto"/>
              <w:highlight w:val="none"/>
            </w:rPr>
            <w:sectPr>
              <w:footerReference r:id="rId10" w:type="default"/>
              <w:pgSz w:w="11907" w:h="16839"/>
              <w:pgMar w:top="1440" w:right="1780" w:bottom="1440" w:left="1780" w:header="720" w:footer="720" w:gutter="0"/>
              <w:pgBorders>
                <w:top w:val="none" w:sz="0" w:space="0"/>
                <w:left w:val="none" w:sz="0" w:space="0"/>
                <w:bottom w:val="none" w:sz="0" w:space="0"/>
                <w:right w:val="none" w:sz="0" w:space="0"/>
              </w:pgBorders>
              <w:pgNumType w:fmt="upperRoman" w:start="1"/>
              <w:cols w:space="720" w:num="1"/>
              <w:docGrid w:type="lines" w:linePitch="312" w:charSpace="0"/>
            </w:sectPr>
          </w:pPr>
          <w:r>
            <w:rPr>
              <w:rFonts w:hint="default" w:ascii="Times New Roman" w:hAnsi="Times New Roman" w:cs="Times New Roman"/>
              <w:color w:val="auto"/>
              <w:highlight w:val="none"/>
            </w:rPr>
            <w:fldChar w:fldCharType="end"/>
          </w:r>
        </w:p>
      </w:sdtContent>
    </w:sdt>
    <w:p>
      <w:pPr>
        <w:pStyle w:val="27"/>
        <w:spacing w:before="312" w:after="312" w:line="400" w:lineRule="atLeast"/>
        <w:rPr>
          <w:rFonts w:hint="default" w:ascii="Times New Roman" w:hAnsi="Times New Roman" w:cs="Times New Roman"/>
          <w:color w:val="auto"/>
          <w:highlight w:val="none"/>
        </w:rPr>
      </w:pPr>
      <w:bookmarkStart w:id="9" w:name="_Toc419906315"/>
      <w:bookmarkEnd w:id="9"/>
      <w:bookmarkStart w:id="10" w:name="_Toc419906331"/>
      <w:bookmarkEnd w:id="10"/>
      <w:bookmarkStart w:id="11" w:name="_Toc419906029"/>
      <w:bookmarkEnd w:id="11"/>
      <w:bookmarkStart w:id="12" w:name="_Toc419906026"/>
      <w:bookmarkEnd w:id="12"/>
      <w:bookmarkStart w:id="13" w:name="_Toc419906035"/>
      <w:bookmarkEnd w:id="13"/>
      <w:bookmarkStart w:id="14" w:name="_Toc419906333"/>
      <w:bookmarkEnd w:id="14"/>
      <w:bookmarkStart w:id="15" w:name="_Toc419906019"/>
      <w:bookmarkEnd w:id="15"/>
      <w:bookmarkStart w:id="16" w:name="_Toc419472609"/>
      <w:bookmarkEnd w:id="16"/>
      <w:bookmarkStart w:id="17" w:name="_Toc419906036"/>
      <w:bookmarkEnd w:id="17"/>
      <w:bookmarkStart w:id="18" w:name="_Toc419906326"/>
      <w:bookmarkEnd w:id="18"/>
      <w:bookmarkStart w:id="19" w:name="_Toc419906025"/>
      <w:bookmarkEnd w:id="19"/>
      <w:bookmarkStart w:id="20" w:name="_Toc419906022"/>
      <w:bookmarkEnd w:id="20"/>
      <w:bookmarkStart w:id="21" w:name="_Toc419906332"/>
      <w:bookmarkEnd w:id="21"/>
      <w:bookmarkStart w:id="22" w:name="_Toc419906032"/>
      <w:bookmarkEnd w:id="22"/>
      <w:bookmarkStart w:id="23" w:name="_Toc419906316"/>
      <w:bookmarkEnd w:id="23"/>
      <w:bookmarkStart w:id="24" w:name="_Toc419906028"/>
      <w:bookmarkEnd w:id="24"/>
      <w:bookmarkStart w:id="25" w:name="_Toc419906322"/>
      <w:bookmarkEnd w:id="25"/>
      <w:bookmarkStart w:id="26" w:name="_Toc419906023"/>
      <w:bookmarkEnd w:id="26"/>
      <w:bookmarkStart w:id="27" w:name="_Toc419906018"/>
      <w:bookmarkEnd w:id="27"/>
      <w:bookmarkStart w:id="28" w:name="_Toc419906021"/>
      <w:bookmarkEnd w:id="28"/>
      <w:bookmarkStart w:id="29" w:name="_Toc419906319"/>
      <w:bookmarkEnd w:id="29"/>
      <w:bookmarkStart w:id="30" w:name="_Toc419906321"/>
      <w:bookmarkEnd w:id="30"/>
      <w:bookmarkStart w:id="31" w:name="_Toc419906030"/>
      <w:bookmarkEnd w:id="31"/>
      <w:bookmarkStart w:id="32" w:name="_Toc419906020"/>
      <w:bookmarkEnd w:id="32"/>
      <w:bookmarkStart w:id="33" w:name="_Toc419906327"/>
      <w:bookmarkEnd w:id="33"/>
      <w:bookmarkStart w:id="34" w:name="_Toc419906031"/>
      <w:bookmarkEnd w:id="34"/>
      <w:bookmarkStart w:id="35" w:name="_Toc419906314"/>
      <w:bookmarkEnd w:id="35"/>
      <w:bookmarkStart w:id="36" w:name="_Toc419906014"/>
      <w:bookmarkEnd w:id="36"/>
      <w:bookmarkStart w:id="37" w:name="_Toc419906325"/>
      <w:bookmarkEnd w:id="37"/>
      <w:bookmarkStart w:id="38" w:name="_Toc419906024"/>
      <w:bookmarkEnd w:id="38"/>
      <w:bookmarkStart w:id="39" w:name="_Toc419906017"/>
      <w:bookmarkEnd w:id="39"/>
      <w:bookmarkStart w:id="40" w:name="_Toc419906328"/>
      <w:bookmarkEnd w:id="40"/>
      <w:bookmarkStart w:id="41" w:name="_Toc419906318"/>
      <w:bookmarkEnd w:id="41"/>
      <w:bookmarkStart w:id="42" w:name="_Toc419906330"/>
      <w:bookmarkEnd w:id="42"/>
      <w:bookmarkStart w:id="43" w:name="_Toc419906034"/>
      <w:bookmarkEnd w:id="43"/>
      <w:bookmarkStart w:id="44" w:name="_Toc419906313"/>
      <w:bookmarkEnd w:id="44"/>
      <w:bookmarkStart w:id="45" w:name="_Toc419906016"/>
      <w:bookmarkEnd w:id="45"/>
      <w:bookmarkStart w:id="46" w:name="_Toc419906312"/>
      <w:bookmarkEnd w:id="46"/>
      <w:bookmarkStart w:id="47" w:name="_Toc419906311"/>
      <w:bookmarkEnd w:id="47"/>
      <w:bookmarkStart w:id="48" w:name="_Toc419906027"/>
      <w:bookmarkEnd w:id="48"/>
      <w:bookmarkStart w:id="49" w:name="_Toc419906015"/>
      <w:bookmarkEnd w:id="49"/>
      <w:bookmarkStart w:id="50" w:name="_Toc419906329"/>
      <w:bookmarkEnd w:id="50"/>
      <w:bookmarkStart w:id="51" w:name="_Toc419906324"/>
      <w:bookmarkEnd w:id="51"/>
      <w:bookmarkStart w:id="52" w:name="_Toc419906033"/>
      <w:bookmarkEnd w:id="52"/>
      <w:bookmarkStart w:id="53" w:name="_Toc419906320"/>
      <w:bookmarkEnd w:id="53"/>
      <w:bookmarkStart w:id="54" w:name="_Toc419906323"/>
      <w:bookmarkEnd w:id="54"/>
      <w:bookmarkStart w:id="55" w:name="_Toc419906317"/>
      <w:bookmarkEnd w:id="55"/>
      <w:bookmarkStart w:id="56" w:name="_Toc38157358"/>
      <w:bookmarkStart w:id="57" w:name="_Toc24294"/>
      <w:bookmarkStart w:id="58" w:name="_Toc419730942"/>
      <w:bookmarkStart w:id="59" w:name="_Toc22522"/>
      <w:bookmarkStart w:id="60" w:name="_Toc18226"/>
      <w:bookmarkStart w:id="61" w:name="_Toc419906037"/>
      <w:bookmarkStart w:id="62" w:name="_Toc27051"/>
      <w:bookmarkStart w:id="63" w:name="_Toc419746466"/>
      <w:bookmarkStart w:id="64" w:name="_Toc7174"/>
      <w:bookmarkStart w:id="65" w:name="_Toc405368410"/>
      <w:bookmarkStart w:id="66" w:name="_Toc292025341"/>
      <w:bookmarkStart w:id="67" w:name="_Toc1129"/>
      <w:bookmarkStart w:id="68" w:name="_Toc349226958"/>
      <w:bookmarkStart w:id="69" w:name="_Toc419472610"/>
      <w:r>
        <w:rPr>
          <w:rFonts w:hint="default" w:ascii="Times New Roman" w:hAnsi="Times New Roman" w:cs="Times New Roman"/>
          <w:b/>
          <w:bCs/>
          <w:color w:val="auto"/>
          <w:highlight w:val="none"/>
        </w:rPr>
        <w:t xml:space="preserve">1 </w:t>
      </w:r>
      <w:r>
        <w:rPr>
          <w:rFonts w:hint="default" w:ascii="Times New Roman" w:hAnsi="Times New Roman" w:cs="Times New Roman"/>
          <w:color w:val="auto"/>
          <w:highlight w:val="none"/>
        </w:rPr>
        <w:t xml:space="preserve"> 总则</w:t>
      </w:r>
      <w:bookmarkEnd w:id="56"/>
      <w:bookmarkEnd w:id="57"/>
      <w:bookmarkEnd w:id="58"/>
      <w:bookmarkEnd w:id="59"/>
      <w:bookmarkEnd w:id="60"/>
      <w:bookmarkEnd w:id="61"/>
      <w:bookmarkEnd w:id="62"/>
      <w:bookmarkEnd w:id="63"/>
      <w:bookmarkEnd w:id="64"/>
      <w:bookmarkEnd w:id="65"/>
      <w:bookmarkEnd w:id="66"/>
      <w:bookmarkEnd w:id="67"/>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1.1</w:t>
      </w:r>
      <w:r>
        <w:rPr>
          <w:rFonts w:hint="default" w:ascii="Times New Roman" w:hAnsi="Times New Roman" w:cs="Times New Roman"/>
          <w:color w:val="auto"/>
          <w:szCs w:val="20"/>
          <w:highlight w:val="none"/>
        </w:rPr>
        <w:t xml:space="preserve"> 本技术规范书适用于中国南方电网有限责任公司采购的10kV</w:t>
      </w:r>
      <w:r>
        <w:rPr>
          <w:rFonts w:hint="default" w:ascii="Times New Roman" w:hAnsi="Times New Roman" w:cs="Times New Roman"/>
          <w:color w:val="auto"/>
          <w:highlight w:val="none"/>
        </w:rPr>
        <w:t>干式铜绕组配电变压器，不含非晶合金铁心干式变压器</w:t>
      </w:r>
      <w:r>
        <w:rPr>
          <w:rFonts w:hint="default" w:ascii="Times New Roman" w:hAnsi="Times New Roman" w:cs="Times New Roman"/>
          <w:color w:val="auto"/>
          <w:szCs w:val="20"/>
          <w:highlight w:val="none"/>
        </w:rPr>
        <w:t>，它提出了该设备</w:t>
      </w:r>
      <w:r>
        <w:rPr>
          <w:rFonts w:hint="default" w:ascii="Times New Roman" w:hAnsi="Times New Roman" w:cs="Times New Roman"/>
          <w:color w:val="auto"/>
          <w:highlight w:val="none"/>
        </w:rPr>
        <w:t>技术参数、结构、性能、试验、起吊、包装和运输等方面的技术要求</w:t>
      </w:r>
      <w:r>
        <w:rPr>
          <w:rFonts w:hint="default" w:ascii="Times New Roman" w:hAnsi="Times New Roman" w:cs="Times New Roman"/>
          <w:color w:val="auto"/>
          <w:szCs w:val="20"/>
          <w:highlight w:val="none"/>
        </w:rPr>
        <w:t>。</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1.2</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本技术规范书提出的是最低限度的技术要求。凡本技术规范书中未规定，但在相关设备的行业标准、国家标准或IEC标准中有规定的规范条文，投标方应按相关标准的</w:t>
      </w:r>
      <w:r>
        <w:rPr>
          <w:rFonts w:hint="default" w:ascii="Times New Roman" w:hAnsi="Times New Roman" w:cs="Times New Roman"/>
          <w:color w:val="auto"/>
          <w:szCs w:val="21"/>
          <w:highlight w:val="none"/>
        </w:rPr>
        <w:t>最高技术要求执行</w:t>
      </w:r>
      <w:r>
        <w:rPr>
          <w:rFonts w:hint="default" w:ascii="Times New Roman" w:hAnsi="Times New Roman" w:cs="Times New Roman"/>
          <w:color w:val="auto"/>
          <w:szCs w:val="20"/>
          <w:highlight w:val="none"/>
        </w:rPr>
        <w:t>。对国家有关安全、环保等强制性标准，必须满足其要求。</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1.3 </w:t>
      </w:r>
      <w:r>
        <w:rPr>
          <w:rFonts w:hint="default" w:ascii="Times New Roman" w:hAnsi="Times New Roman" w:cs="Times New Roman"/>
          <w:color w:val="auto"/>
          <w:szCs w:val="20"/>
          <w:highlight w:val="none"/>
        </w:rPr>
        <w:t>如果投标方没有以书面形式对本技术规范书的条文提出异议，则意味着投标方提供的设备完全符合本技术规范书的要求。如有异议，应在投标文件中以“技术偏差表”为标题的专门章节中加以详细描述。</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1.4</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本技术规范书所使用的标准如遇与投标方所执行的标准不一致时，按技术要求较高的标准执行。</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1.5</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本技术规范书经买、卖双方确认后作为订货合同的技术附件，与合同正文具有同等的法律效力。</w:t>
      </w:r>
    </w:p>
    <w:p>
      <w:pPr>
        <w:spacing w:line="360" w:lineRule="auto"/>
        <w:rPr>
          <w:rFonts w:hint="default" w:ascii="Times New Roman" w:hAnsi="Times New Roman" w:cs="Times New Roman"/>
          <w:color w:val="auto"/>
          <w:szCs w:val="20"/>
          <w:highlight w:val="none"/>
        </w:rPr>
      </w:pPr>
      <w:r>
        <w:rPr>
          <w:rFonts w:hint="default" w:ascii="Times New Roman" w:hAnsi="Times New Roman" w:cs="Times New Roman"/>
          <w:b/>
          <w:bCs/>
          <w:color w:val="auto"/>
          <w:szCs w:val="20"/>
          <w:highlight w:val="none"/>
        </w:rPr>
        <w:t>1.6</w:t>
      </w:r>
      <w:r>
        <w:rPr>
          <w:rFonts w:hint="default" w:ascii="Times New Roman" w:hAnsi="Times New Roman" w:cs="Times New Roman"/>
          <w:color w:val="auto"/>
          <w:szCs w:val="20"/>
          <w:highlight w:val="none"/>
        </w:rPr>
        <w:t xml:space="preserve"> 本技术规范书未尽事宜，由买、卖双方协商确定。</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1.7</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投标方在投标技术文件中应如实反映投标产品与本技术规范书的技术差异。如果投标方没有提出技术差异，而在执行合同的过程中，招标方发现投标方提供的产品与其投标技术文件的条文存在差异，招标方有权利要求退货，并追究投标方违约责任。</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1.8</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投标方应在投标技术部分按本技术规范书的要求如实详细的填写投标设备的标准配置表，并在投标商务部分按此标准配置进行报价，如发现二者有矛盾之处，将按有利于招标方的条款执行。</w:t>
      </w:r>
    </w:p>
    <w:p>
      <w:pPr>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1.9 </w:t>
      </w:r>
      <w:r>
        <w:rPr>
          <w:rFonts w:hint="default" w:ascii="Times New Roman" w:hAnsi="Times New Roman" w:cs="Times New Roman"/>
          <w:color w:val="auto"/>
          <w:szCs w:val="20"/>
          <w:highlight w:val="none"/>
        </w:rPr>
        <w:t>投标方应充分理解本技术规范书并按具体条款、格式要求填写投标的技术文件，如发现投标的技术文件条款、格式不符合本技术规范书的要求，则认为投标不严肃，在评标时将有不同程度的扣分。</w:t>
      </w:r>
    </w:p>
    <w:p>
      <w:pPr>
        <w:pStyle w:val="27"/>
        <w:spacing w:before="317" w:after="317" w:line="400" w:lineRule="atLeast"/>
        <w:rPr>
          <w:rFonts w:hint="default" w:ascii="Times New Roman" w:hAnsi="Times New Roman" w:cs="Times New Roman"/>
          <w:color w:val="auto"/>
          <w:highlight w:val="none"/>
        </w:rPr>
      </w:pPr>
      <w:bookmarkStart w:id="70" w:name="_Toc392007885"/>
      <w:bookmarkEnd w:id="70"/>
      <w:bookmarkStart w:id="71" w:name="_Toc391757881"/>
      <w:bookmarkEnd w:id="71"/>
      <w:bookmarkStart w:id="72" w:name="_Toc391987657"/>
      <w:bookmarkEnd w:id="72"/>
      <w:bookmarkStart w:id="73" w:name="_Toc16673"/>
      <w:bookmarkStart w:id="74" w:name="_Toc21340"/>
      <w:bookmarkStart w:id="75" w:name="_Toc419746467"/>
      <w:bookmarkStart w:id="76" w:name="_Toc292025342"/>
      <w:bookmarkStart w:id="77" w:name="_Toc279695347"/>
      <w:bookmarkStart w:id="78" w:name="_Toc8852"/>
      <w:bookmarkStart w:id="79" w:name="_Toc276492358"/>
      <w:bookmarkStart w:id="80" w:name="_Toc405368411"/>
      <w:bookmarkStart w:id="81" w:name="_Toc246216316"/>
      <w:bookmarkStart w:id="82" w:name="_Toc18949"/>
      <w:bookmarkStart w:id="83" w:name="_Toc6962"/>
      <w:bookmarkStart w:id="84" w:name="_Toc419906038"/>
      <w:bookmarkStart w:id="85" w:name="_Toc271281204"/>
      <w:bookmarkStart w:id="86" w:name="_Toc38157359"/>
      <w:bookmarkStart w:id="87" w:name="_Toc112756677"/>
      <w:bookmarkStart w:id="88" w:name="_Toc276490890"/>
      <w:bookmarkStart w:id="89" w:name="_Toc419730943"/>
      <w:bookmarkStart w:id="90" w:name="_Toc3708"/>
      <w:bookmarkStart w:id="91" w:name="_Toc25745"/>
      <w:bookmarkStart w:id="92" w:name="_Toc241911995"/>
      <w:bookmarkStart w:id="93" w:name="_Toc155114607"/>
      <w:r>
        <w:rPr>
          <w:rFonts w:hint="default" w:ascii="Times New Roman" w:hAnsi="Times New Roman" w:cs="Times New Roman"/>
          <w:b/>
          <w:bCs/>
          <w:color w:val="auto"/>
          <w:highlight w:val="none"/>
        </w:rPr>
        <w:t xml:space="preserve">2  </w:t>
      </w:r>
      <w:r>
        <w:rPr>
          <w:rFonts w:hint="default" w:ascii="Times New Roman" w:hAnsi="Times New Roman" w:cs="Times New Roman"/>
          <w:color w:val="auto"/>
          <w:highlight w:val="none"/>
        </w:rPr>
        <w:t>工作范围</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25"/>
        <w:rPr>
          <w:rFonts w:hint="default" w:ascii="Times New Roman" w:hAnsi="Times New Roman" w:cs="Times New Roman"/>
          <w:color w:val="auto"/>
          <w:highlight w:val="none"/>
        </w:rPr>
      </w:pPr>
      <w:bookmarkStart w:id="94" w:name="_Toc292025344"/>
      <w:bookmarkStart w:id="95" w:name="_Toc405368413"/>
      <w:bookmarkStart w:id="96" w:name="_Toc419746468"/>
      <w:bookmarkStart w:id="97" w:name="_Toc38157360"/>
      <w:bookmarkStart w:id="98" w:name="_Toc608"/>
      <w:bookmarkStart w:id="99" w:name="_Toc11469"/>
      <w:bookmarkStart w:id="100" w:name="_Toc9031"/>
      <w:bookmarkStart w:id="101" w:name="_Toc419906039"/>
      <w:bookmarkStart w:id="102" w:name="_Toc10551"/>
      <w:bookmarkStart w:id="103" w:name="_Toc32281"/>
      <w:bookmarkStart w:id="104" w:name="_Toc24546"/>
      <w:bookmarkStart w:id="105" w:name="_Toc3972"/>
      <w:r>
        <w:rPr>
          <w:rFonts w:hint="default" w:ascii="Times New Roman" w:hAnsi="Times New Roman" w:cs="Times New Roman"/>
          <w:b/>
          <w:bCs/>
          <w:color w:val="auto"/>
          <w:highlight w:val="none"/>
        </w:rPr>
        <w:t>2.1</w:t>
      </w:r>
      <w:r>
        <w:rPr>
          <w:rFonts w:hint="default" w:ascii="Times New Roman" w:hAnsi="Times New Roman" w:cs="Times New Roman"/>
          <w:color w:val="auto"/>
          <w:highlight w:val="none"/>
        </w:rPr>
        <w:t xml:space="preserve"> 范围和界限</w:t>
      </w:r>
      <w:bookmarkEnd w:id="94"/>
      <w:bookmarkEnd w:id="95"/>
      <w:bookmarkEnd w:id="96"/>
      <w:bookmarkEnd w:id="97"/>
      <w:bookmarkEnd w:id="98"/>
      <w:bookmarkEnd w:id="99"/>
      <w:bookmarkEnd w:id="100"/>
      <w:bookmarkEnd w:id="101"/>
      <w:bookmarkEnd w:id="102"/>
      <w:bookmarkEnd w:id="103"/>
      <w:bookmarkEnd w:id="104"/>
      <w:bookmarkEnd w:id="105"/>
    </w:p>
    <w:p>
      <w:pPr>
        <w:adjustRightInd w:val="0"/>
        <w:spacing w:line="360" w:lineRule="auto"/>
        <w:rPr>
          <w:rFonts w:hint="default" w:ascii="Times New Roman" w:hAnsi="Times New Roman" w:cs="Times New Roman"/>
          <w:color w:val="auto"/>
          <w:szCs w:val="20"/>
          <w:highlight w:val="none"/>
        </w:rPr>
      </w:pPr>
      <w:bookmarkStart w:id="106" w:name="_Toc292025345"/>
      <w:r>
        <w:rPr>
          <w:rFonts w:hint="default" w:ascii="Times New Roman" w:hAnsi="Times New Roman" w:eastAsia="黑体" w:cs="Times New Roman"/>
          <w:b/>
          <w:bCs/>
          <w:color w:val="auto"/>
          <w:szCs w:val="20"/>
          <w:highlight w:val="none"/>
        </w:rPr>
        <w:t xml:space="preserve">2.1.1 </w:t>
      </w:r>
      <w:r>
        <w:rPr>
          <w:rFonts w:hint="default" w:ascii="Times New Roman" w:hAnsi="Times New Roman" w:cs="Times New Roman"/>
          <w:color w:val="auto"/>
          <w:szCs w:val="20"/>
          <w:highlight w:val="none"/>
        </w:rPr>
        <w:t>本技术规范书适用于中国南方电网公司配网新建、扩建及改造工程，安装在户内的</w:t>
      </w:r>
      <w:r>
        <w:rPr>
          <w:rFonts w:hint="default" w:ascii="Times New Roman" w:hAnsi="Times New Roman" w:cs="Times New Roman"/>
          <w:color w:val="auto"/>
          <w:highlight w:val="none"/>
        </w:rPr>
        <w:t>10kV电压等级、额定容量</w:t>
      </w:r>
      <w:r>
        <w:rPr>
          <w:rFonts w:hint="default" w:ascii="Times New Roman" w:hAnsi="Times New Roman" w:cs="Times New Roman"/>
          <w:color w:val="auto"/>
          <w:highlight w:val="none"/>
          <w:lang w:val="en-US" w:eastAsia="zh-CN"/>
        </w:rPr>
        <w:t>800</w:t>
      </w:r>
      <w:r>
        <w:rPr>
          <w:rFonts w:hint="default" w:ascii="Times New Roman" w:hAnsi="Times New Roman" w:cs="Times New Roman"/>
          <w:color w:val="auto"/>
          <w:highlight w:val="none"/>
        </w:rPr>
        <w:t>kVA～1600kVA的三相干式铜绕组配电变压器，不含非晶合金铁心干式变压器</w:t>
      </w:r>
      <w:r>
        <w:rPr>
          <w:rFonts w:hint="default" w:ascii="Times New Roman" w:hAnsi="Times New Roman" w:cs="Times New Roman"/>
          <w:color w:val="auto"/>
          <w:szCs w:val="20"/>
          <w:highlight w:val="none"/>
        </w:rPr>
        <w:t>。</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2.1.2 </w:t>
      </w:r>
      <w:r>
        <w:rPr>
          <w:rFonts w:hint="default" w:ascii="Times New Roman" w:hAnsi="Times New Roman" w:cs="Times New Roman"/>
          <w:color w:val="auto"/>
          <w:szCs w:val="20"/>
          <w:highlight w:val="none"/>
        </w:rPr>
        <w:t>现场安装和试验在投标方的技术指导和监督下由招标方完成。</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2.1.3</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本技术规范书未说明，但与设计、制造、装配、试验、运输、包装、保管、安装和运行维护有关的技术要求，按条款3所列的有关标准执行。</w:t>
      </w:r>
    </w:p>
    <w:p>
      <w:pPr>
        <w:pStyle w:val="25"/>
        <w:rPr>
          <w:rFonts w:hint="default" w:ascii="Times New Roman" w:hAnsi="Times New Roman" w:cs="Times New Roman"/>
          <w:color w:val="auto"/>
          <w:highlight w:val="none"/>
        </w:rPr>
      </w:pPr>
      <w:bookmarkStart w:id="107" w:name="_Toc419906040"/>
      <w:bookmarkStart w:id="108" w:name="_Toc405368414"/>
      <w:bookmarkStart w:id="109" w:name="_Toc30945"/>
      <w:bookmarkStart w:id="110" w:name="_Toc26212"/>
      <w:bookmarkStart w:id="111" w:name="_Toc14026"/>
      <w:bookmarkStart w:id="112" w:name="_Toc31640"/>
      <w:bookmarkStart w:id="113" w:name="_Toc419746469"/>
      <w:bookmarkStart w:id="114" w:name="_Toc3984"/>
      <w:bookmarkStart w:id="115" w:name="_Toc26281"/>
      <w:bookmarkStart w:id="116" w:name="_Toc21355"/>
      <w:bookmarkStart w:id="117" w:name="_Toc38157361"/>
      <w:r>
        <w:rPr>
          <w:rFonts w:hint="default" w:ascii="Times New Roman" w:hAnsi="Times New Roman" w:cs="Times New Roman"/>
          <w:b/>
          <w:bCs/>
          <w:color w:val="auto"/>
          <w:highlight w:val="none"/>
        </w:rPr>
        <w:t>2.2</w:t>
      </w:r>
      <w:r>
        <w:rPr>
          <w:rFonts w:hint="default" w:ascii="Times New Roman" w:hAnsi="Times New Roman" w:cs="Times New Roman"/>
          <w:color w:val="auto"/>
          <w:highlight w:val="none"/>
        </w:rPr>
        <w:t xml:space="preserve"> 服务范围</w:t>
      </w:r>
      <w:bookmarkEnd w:id="106"/>
      <w:bookmarkEnd w:id="107"/>
      <w:bookmarkEnd w:id="108"/>
      <w:bookmarkEnd w:id="109"/>
      <w:bookmarkEnd w:id="110"/>
      <w:bookmarkEnd w:id="111"/>
      <w:bookmarkEnd w:id="112"/>
      <w:bookmarkEnd w:id="113"/>
      <w:bookmarkEnd w:id="114"/>
      <w:bookmarkEnd w:id="115"/>
      <w:bookmarkEnd w:id="116"/>
      <w:bookmarkEnd w:id="117"/>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2.2.1 </w:t>
      </w:r>
      <w:r>
        <w:rPr>
          <w:rFonts w:hint="default" w:ascii="Times New Roman" w:hAnsi="Times New Roman" w:cs="Times New Roman"/>
          <w:color w:val="auto"/>
          <w:szCs w:val="20"/>
          <w:highlight w:val="none"/>
        </w:rPr>
        <w:t>投标方应按本技术规范书的要求提供全新的、合格的10kV</w:t>
      </w:r>
      <w:r>
        <w:rPr>
          <w:rFonts w:hint="default" w:ascii="Times New Roman" w:hAnsi="Times New Roman" w:cs="Times New Roman"/>
          <w:color w:val="auto"/>
          <w:highlight w:val="none"/>
        </w:rPr>
        <w:t>干式铜绕组配电变压器（不含非晶合金铁心干式配电变压器）</w:t>
      </w:r>
      <w:r>
        <w:rPr>
          <w:rFonts w:hint="default" w:ascii="Times New Roman" w:hAnsi="Times New Roman" w:cs="Times New Roman"/>
          <w:color w:val="auto"/>
          <w:szCs w:val="20"/>
          <w:highlight w:val="none"/>
        </w:rPr>
        <w:t>及其附属设备、备品备件、专用工具和仪器。</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2.2.2</w:t>
      </w:r>
      <w:r>
        <w:rPr>
          <w:rFonts w:hint="default" w:ascii="Times New Roman" w:hAnsi="Times New Roman" w:cs="Times New Roman"/>
          <w:b/>
          <w:bCs/>
          <w:color w:val="auto"/>
          <w:szCs w:val="20"/>
          <w:highlight w:val="none"/>
        </w:rPr>
        <w:t xml:space="preserve"> </w:t>
      </w:r>
      <w:r>
        <w:rPr>
          <w:rFonts w:hint="default" w:ascii="Times New Roman" w:hAnsi="Times New Roman" w:cs="Times New Roman"/>
          <w:color w:val="auto"/>
          <w:szCs w:val="20"/>
          <w:highlight w:val="none"/>
        </w:rPr>
        <w:t>投标方所提供的组件或附件如需向第三方外购时，投标方应对质量向招标方负责，并提供相应出厂和验收报告。</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2.2.3</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供货范围</w:t>
      </w:r>
      <w:bookmarkStart w:id="118" w:name="_Toc283011667"/>
      <w:bookmarkStart w:id="119" w:name="_Toc282433715"/>
      <w:bookmarkStart w:id="120" w:name="_Toc283142589"/>
      <w:r>
        <w:rPr>
          <w:rFonts w:hint="default" w:ascii="Times New Roman" w:hAnsi="Times New Roman" w:cs="Times New Roman"/>
          <w:color w:val="auto"/>
          <w:szCs w:val="20"/>
          <w:highlight w:val="none"/>
        </w:rPr>
        <w:t>一览表</w:t>
      </w:r>
      <w:bookmarkEnd w:id="118"/>
      <w:bookmarkEnd w:id="119"/>
      <w:bookmarkEnd w:id="120"/>
    </w:p>
    <w:p>
      <w:pPr>
        <w:spacing w:line="360" w:lineRule="auto"/>
        <w:ind w:firstLine="420" w:firstLineChars="200"/>
        <w:rPr>
          <w:rFonts w:hint="default" w:ascii="Times New Roman" w:hAnsi="Times New Roman" w:cs="Times New Roman"/>
          <w:color w:val="auto"/>
          <w:szCs w:val="20"/>
          <w:highlight w:val="none"/>
        </w:rPr>
      </w:pPr>
      <w:r>
        <w:rPr>
          <w:rFonts w:hint="default" w:ascii="Times New Roman" w:hAnsi="Times New Roman" w:cs="Times New Roman"/>
          <w:color w:val="auto"/>
          <w:szCs w:val="20"/>
          <w:highlight w:val="none"/>
        </w:rPr>
        <w:t xml:space="preserve">供货范围一览表详见专用部分2.1。 </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2.2.4</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工厂试验由投标方在生产厂家内完成，但应有招标方代表参加, 参加工厂验收的人数及天数等规定详见标书商务部分。</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2.2.5</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标书商务部分。</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2.2.6</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投标方应协助招标方解决设备运行中出现的问题。</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2.2.7</w:t>
      </w:r>
      <w:r>
        <w:rPr>
          <w:rFonts w:hint="default" w:ascii="Times New Roman" w:hAnsi="Times New Roman" w:eastAsia="黑体" w:cs="Times New Roman"/>
          <w:color w:val="auto"/>
          <w:szCs w:val="20"/>
          <w:highlight w:val="none"/>
        </w:rPr>
        <w:t xml:space="preserve"> </w:t>
      </w:r>
      <w:r>
        <w:rPr>
          <w:rFonts w:hint="default" w:ascii="Times New Roman" w:hAnsi="Times New Roman" w:cs="Times New Roman"/>
          <w:color w:val="auto"/>
          <w:szCs w:val="20"/>
          <w:highlight w:val="none"/>
        </w:rPr>
        <w:t>设计联络会议的地点及招标方参加人员的人数和天数等规定详见标书商务部分。</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2.2.8 </w:t>
      </w:r>
      <w:r>
        <w:rPr>
          <w:rFonts w:hint="default" w:ascii="Times New Roman" w:hAnsi="Times New Roman" w:cs="Times New Roman"/>
          <w:color w:val="auto"/>
          <w:szCs w:val="20"/>
          <w:highlight w:val="none"/>
        </w:rPr>
        <w:t>设备安装、调试和性能试验合格后方可投运。设备投运并稳定运行后，投标方和招标方（业主）双方应根据相关法律、法规和公司管理制度签署合同设备的验收证明书。该证明书共两份，双方各执一份。</w:t>
      </w:r>
    </w:p>
    <w:p>
      <w:pPr>
        <w:adjustRightInd w:val="0"/>
        <w:spacing w:line="360" w:lineRule="auto"/>
        <w:rPr>
          <w:rFonts w:hint="default" w:ascii="Times New Roman" w:hAnsi="Times New Roman" w:cs="Times New Roman"/>
          <w:color w:val="auto"/>
          <w:szCs w:val="20"/>
          <w:highlight w:val="none"/>
        </w:rPr>
      </w:pPr>
      <w:r>
        <w:rPr>
          <w:rFonts w:hint="default" w:ascii="Times New Roman" w:hAnsi="Times New Roman" w:eastAsia="黑体" w:cs="Times New Roman"/>
          <w:b/>
          <w:bCs/>
          <w:color w:val="auto"/>
          <w:szCs w:val="20"/>
          <w:highlight w:val="none"/>
        </w:rPr>
        <w:t xml:space="preserve">2.2.9 </w:t>
      </w:r>
      <w:r>
        <w:rPr>
          <w:rFonts w:hint="default" w:ascii="Times New Roman" w:hAnsi="Times New Roman" w:cs="Times New Roman"/>
          <w:color w:val="auto"/>
          <w:szCs w:val="20"/>
          <w:highlight w:val="none"/>
        </w:rPr>
        <w:t>如果安装、调试、性能试验、试运行及质保期内技术指标一项或多项不能满足合同技术部分要求，招、投标双方共同分析原因，分清责任，如属制造方面的原因，或涉及索赔部分，按商务部分有关条款执行。</w:t>
      </w:r>
      <w:bookmarkEnd w:id="92"/>
      <w:bookmarkEnd w:id="93"/>
    </w:p>
    <w:p>
      <w:pPr>
        <w:pStyle w:val="27"/>
        <w:spacing w:before="317" w:after="317" w:line="400" w:lineRule="atLeast"/>
        <w:rPr>
          <w:rFonts w:hint="default" w:ascii="Times New Roman" w:hAnsi="Times New Roman" w:cs="Times New Roman"/>
          <w:color w:val="auto"/>
          <w:highlight w:val="none"/>
        </w:rPr>
      </w:pPr>
      <w:bookmarkStart w:id="121" w:name="_Toc640"/>
      <w:bookmarkStart w:id="122" w:name="_Toc12099"/>
      <w:bookmarkStart w:id="123" w:name="_Toc419906041"/>
      <w:bookmarkStart w:id="124" w:name="_Toc292025346"/>
      <w:bookmarkStart w:id="125" w:name="_Toc20418"/>
      <w:bookmarkStart w:id="126" w:name="_Toc419746470"/>
      <w:bookmarkStart w:id="127" w:name="_Toc10578"/>
      <w:bookmarkStart w:id="128" w:name="_Toc21391"/>
      <w:bookmarkStart w:id="129" w:name="_Toc16933"/>
      <w:bookmarkStart w:id="130" w:name="_Toc419730944"/>
      <w:bookmarkStart w:id="131" w:name="_Toc405368415"/>
      <w:bookmarkStart w:id="132" w:name="_Toc38157362"/>
      <w:bookmarkStart w:id="133" w:name="_Toc8395"/>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应遵循的主要标准</w:t>
      </w:r>
      <w:bookmarkEnd w:id="121"/>
      <w:bookmarkEnd w:id="122"/>
      <w:bookmarkEnd w:id="123"/>
      <w:bookmarkEnd w:id="124"/>
      <w:bookmarkEnd w:id="125"/>
      <w:bookmarkEnd w:id="126"/>
      <w:bookmarkEnd w:id="127"/>
      <w:bookmarkEnd w:id="128"/>
      <w:bookmarkEnd w:id="129"/>
      <w:bookmarkEnd w:id="130"/>
      <w:bookmarkEnd w:id="131"/>
      <w:bookmarkEnd w:id="132"/>
      <w:bookmarkEnd w:id="133"/>
    </w:p>
    <w:p>
      <w:pPr>
        <w:spacing w:line="360" w:lineRule="auto"/>
        <w:ind w:firstLine="420" w:firstLineChars="200"/>
        <w:rPr>
          <w:rFonts w:hint="default" w:ascii="Times New Roman" w:hAnsi="Times New Roman" w:cs="Times New Roman"/>
          <w:color w:val="auto"/>
          <w:highlight w:val="none"/>
        </w:rPr>
      </w:pPr>
      <w:bookmarkStart w:id="134" w:name="_Toc419906042"/>
      <w:r>
        <w:rPr>
          <w:rFonts w:hint="default" w:ascii="Times New Roman" w:hAnsi="Times New Roman" w:cs="Times New Roman"/>
          <w:color w:val="auto"/>
          <w:highlight w:val="none"/>
        </w:rPr>
        <w:t>除本技术规范书特殊规定外，投标方所提供的设备均按规定的标准和规程的最新版本进行设计、制造、试验和安装。如果这些标准内容有矛盾时，应按技术要求最高的条款执行或按双方商定的标准执行。如果投标方选用本技术规范书规定以外的标准时，则需提交这种替换标准供审查和分析。仅在投标方已证明替换标准相当或优于技术规范书规定的标准，并从招标方处获得书面的认可才能使用。提交供审查的标准应为中文版本。</w:t>
      </w:r>
      <w:bookmarkEnd w:id="68"/>
      <w:bookmarkEnd w:id="69"/>
      <w:bookmarkEnd w:id="134"/>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下列文件中的条款通过本规范的引用而成为本规范的条款。凡是注日期的引用文件，其随后所有的修改单（不包括勘误的内容）或修订版均不适用于本规范。凡是不注日期的引用文件，其最新版本适用于本规范。</w:t>
      </w:r>
    </w:p>
    <w:p>
      <w:pPr>
        <w:spacing w:line="360" w:lineRule="auto"/>
        <w:ind w:firstLine="420" w:firstLineChars="200"/>
        <w:rPr>
          <w:rFonts w:hint="default" w:ascii="Times New Roman" w:hAnsi="Times New Roman" w:cs="Times New Roman"/>
          <w:color w:val="auto"/>
          <w:highlight w:val="none"/>
        </w:rPr>
      </w:pPr>
      <w:bookmarkStart w:id="135" w:name="_Toc206401358"/>
      <w:bookmarkStart w:id="136" w:name="_Toc206400011"/>
      <w:bookmarkStart w:id="137" w:name="_Toc206405201"/>
      <w:bookmarkStart w:id="138" w:name="_Toc223516385"/>
      <w:bookmarkStart w:id="139" w:name="_Toc233917698"/>
      <w:r>
        <w:rPr>
          <w:rFonts w:hint="default" w:ascii="Times New Roman" w:hAnsi="Times New Roman" w:cs="Times New Roman"/>
          <w:color w:val="auto"/>
          <w:highlight w:val="none"/>
        </w:rPr>
        <w:t>GB /</w:t>
      </w:r>
      <w:r>
        <w:rPr>
          <w:rFonts w:hint="default" w:ascii="Times New Roman" w:hAnsi="Times New Roman" w:cs="Times New Roman"/>
          <w:color w:val="auto"/>
          <w:highlight w:val="none"/>
          <w:lang w:val="en-US" w:eastAsia="zh-CN"/>
        </w:rPr>
        <w:t xml:space="preserve">T </w:t>
      </w:r>
      <w:r>
        <w:rPr>
          <w:rFonts w:hint="default" w:ascii="Times New Roman" w:hAnsi="Times New Roman" w:cs="Times New Roman"/>
          <w:color w:val="auto"/>
          <w:highlight w:val="none"/>
        </w:rPr>
        <w:t>1094.1</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电力变压器  第1部分  总则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 /</w:t>
      </w:r>
      <w:r>
        <w:rPr>
          <w:rFonts w:hint="default" w:ascii="Times New Roman" w:hAnsi="Times New Roman" w:cs="Times New Roman"/>
          <w:color w:val="auto"/>
          <w:highlight w:val="none"/>
          <w:lang w:val="en-US" w:eastAsia="zh-CN"/>
        </w:rPr>
        <w:t xml:space="preserve">T </w:t>
      </w:r>
      <w:r>
        <w:rPr>
          <w:rFonts w:hint="default" w:ascii="Times New Roman" w:hAnsi="Times New Roman" w:cs="Times New Roman"/>
          <w:color w:val="auto"/>
          <w:highlight w:val="none"/>
        </w:rPr>
        <w:t>1094.3</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电力变压器  第3部分：绝缘水平、绝缘试验和外绝缘空气间隙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GB/ </w:t>
      </w:r>
      <w:r>
        <w:rPr>
          <w:rFonts w:hint="default" w:ascii="Times New Roman" w:hAnsi="Times New Roman" w:cs="Times New Roman"/>
          <w:color w:val="auto"/>
          <w:highlight w:val="none"/>
          <w:lang w:val="en-US" w:eastAsia="zh-CN"/>
        </w:rPr>
        <w:t xml:space="preserve">T </w:t>
      </w:r>
      <w:r>
        <w:rPr>
          <w:rFonts w:hint="default" w:ascii="Times New Roman" w:hAnsi="Times New Roman" w:cs="Times New Roman"/>
          <w:color w:val="auto"/>
          <w:highlight w:val="none"/>
        </w:rPr>
        <w:t>1094.5</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电力变压器  第5部分：承受短路的能力</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w:t>
      </w:r>
      <w:r>
        <w:rPr>
          <w:rFonts w:hint="default" w:ascii="Times New Roman" w:hAnsi="Times New Roman" w:cs="Times New Roman"/>
          <w:color w:val="auto"/>
          <w:highlight w:val="none"/>
          <w:lang w:val="en-US" w:eastAsia="zh-CN"/>
        </w:rPr>
        <w:t xml:space="preserve">T </w:t>
      </w:r>
      <w:r>
        <w:rPr>
          <w:rFonts w:hint="default" w:ascii="Times New Roman" w:hAnsi="Times New Roman" w:cs="Times New Roman"/>
          <w:color w:val="auto"/>
          <w:highlight w:val="none"/>
        </w:rPr>
        <w:t>1094.11</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电力变压器  第11部分：干式电力变压器</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 3096</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声环境质量标准</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9ga%2DUtzDuSqK8dVCbZw7WrbqzLfIcqHdx1XxXVaGRhBWHNtYUBZquW0R8NAjBWwmBElmb8enawyoUc%2D9VeHRhto44mTXc6UBaZ2Q6j%2FMcCnyea7b7XKRc4XdSmifHGCx82jRVB6mMn7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 4208</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9ga%2DUtzDuSqK8dVCbZw7WrbqzLfIcqHdx1XxXVaGRhBWHNtYUBZquW0R8NAjBWwmBElmb8enawyoUc%2D9VeHRhto44mTXc6UBaZ2Q6j%2FMcCnyea7b7XKRc4XdSmifHGCx82jRVB6mMn7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外壳防护等级(IP代码)</w:t>
      </w:r>
      <w:r>
        <w:rPr>
          <w:rFonts w:hint="default" w:ascii="Times New Roman" w:hAnsi="Times New Roman" w:cs="Times New Roman"/>
          <w:color w:val="auto"/>
          <w:highlight w:val="none"/>
        </w:rPr>
        <w:fldChar w:fldCharType="end"/>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 5273</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高压电器端子尺寸标准化</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 20052</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lang w:val="en-US" w:eastAsia="zh-CN"/>
        </w:rPr>
        <w:t>电力</w:t>
      </w:r>
      <w:r>
        <w:rPr>
          <w:rFonts w:hint="default" w:ascii="Times New Roman" w:hAnsi="Times New Roman" w:cs="Times New Roman"/>
          <w:color w:val="auto"/>
          <w:highlight w:val="none"/>
        </w:rPr>
        <w:t>变压器能效限定值及能效等级</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bSUPS1Jn3NsPX2qXSpc92ybhEL5IaPViBTAnMzReakrylG42D%2F8JuV3Axhnl7ifqu9JXY9IRH2QdrLTvkqCfvFYvPDzm95iJ74ap%2FmRAZ%2FoMKyskyWiYrzcMmuxqq2p8YE85B%2FYj%2FH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 50150</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bSUPS1Jn3NsPX2qXSpc92ybhEL5IaPViBTAnMzReakrylG42D%2F8JuV3Axhnl7ifqu9JXY9IRH2QdrLTvkqCfvFYvPDzm95iJ74ap%2FmRAZ%2FoMKyskyWiYrzcMmuxqq2p8YE85B%2FYj%2FH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电气装置安装工程电气设备交接试验标准</w:t>
      </w:r>
      <w:r>
        <w:rPr>
          <w:rFonts w:hint="default" w:ascii="Times New Roman" w:hAnsi="Times New Roman" w:cs="Times New Roman"/>
          <w:color w:val="auto"/>
          <w:highlight w:val="none"/>
        </w:rPr>
        <w:fldChar w:fldCharType="end"/>
      </w:r>
    </w:p>
    <w:p>
      <w:pPr>
        <w:spacing w:line="360" w:lineRule="auto"/>
        <w:ind w:left="2100" w:leftChars="200" w:hanging="1680" w:hangingChars="8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dUAnob%2DcMo8bkbdJsNMnjOEt%2DXk%2DKUyeQgxbyJNan7bZMSeEQVW7M%2FB5MYrey4OaD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GB/T 1094.4</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dUAnob%2DcMo8bkbdJsNMnjOEt%2DXk%2DKUyeQgxbyJNan7bZMSeEQVW7M%2FB5MYrey4OaD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电力变压器  第4部分：电力变压器和电抗器的雷电冲击和操作冲击试验导则</w:t>
      </w:r>
      <w:r>
        <w:rPr>
          <w:rFonts w:hint="default" w:ascii="Times New Roman" w:hAnsi="Times New Roman" w:cs="Times New Roman"/>
          <w:color w:val="auto"/>
          <w:highlight w:val="none"/>
        </w:rPr>
        <w:fldChar w:fldCharType="end"/>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ZiZP1ox51ci2cbcwiafWsQcTB0V%2DGE7AWuxkTb6Qrn8ZMSeEQVW7M%2DM202vO76pQj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GB/T 1094.10</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ZiZP1ox51ci2cbcwiafWsQcTB0V%2DGE7AWuxkTb6Qrn8ZMSeEQVW7M%2DM202vO76pQj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电力变压器  第10部分：声级测定</w:t>
      </w:r>
      <w:r>
        <w:rPr>
          <w:rFonts w:hint="default" w:ascii="Times New Roman" w:hAnsi="Times New Roman" w:cs="Times New Roman"/>
          <w:color w:val="auto"/>
          <w:highlight w:val="none"/>
        </w:rPr>
        <w:fldChar w:fldCharType="end"/>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ZiZP1ox51ci2cbcwiafWsQcTB0V%2DGE7AWuxkTb6Qrn8ZMSeEQVW7M%2DM202vO76pQj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GB/T 1094.12</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30OAWD0T9Y7ry7L9pjEJHhT3mWhuC6k1ZiZP1ox51ci2cbcwiafWsQcTB0V%2DGE7AWuxkTb6Qrn8ZMSeEQVW7M%2DM202vO76pQj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电力变压器  第12部分：干式电力变压器负载导则</w:t>
      </w:r>
      <w:r>
        <w:rPr>
          <w:rFonts w:hint="default" w:ascii="Times New Roman" w:hAnsi="Times New Roman" w:cs="Times New Roman"/>
          <w:color w:val="auto"/>
          <w:highlight w:val="none"/>
        </w:rPr>
        <w:fldChar w:fldCharType="end"/>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2314</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电力金具通用技术条件</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2317.1</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电力金具试验方法  第1部分：机械试验</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2317.3</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电力金具试验方法  第3部分：热循环试验</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2521</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全工艺冷轧电工钢 第1部分:晶粒无取向钢带（片）</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2521</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全工艺冷轧电工钢 第</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部分:晶粒取向钢带（片）</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2522</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电工钢片（带）涂层绝缘电阻和附着性测试方法</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GB/T 2900.95   </w:t>
      </w:r>
      <w:r>
        <w:rPr>
          <w:rFonts w:hint="default"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电工术语 变压器、调压器和电抗器</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3048.2</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电线电缆电性能试验方法  第2部分：金属材料电阻率试验</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3655</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用爱泼斯坦方圈测量电工钢片（带）磁性能的方法</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GB/T 3953</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电工圆铜线</w:t>
      </w:r>
    </w:p>
    <w:p>
      <w:pPr>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lang w:val="en-US" w:eastAsia="zh-CN"/>
        </w:rPr>
        <w:t>GB/T 10228      干式电力变压器技术参数和要求</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hnZ38qVziTlfwhSq1ELkgCd8afSSYnrI0H2C6cgNo92I96RFCkbJ%2FySyZNiVSTGqsPX2qXSpc92ybhEL5IaPVg3JSZhVPF0MrylG42D%2F8JuV3Axhnl7ifqu9JXY9IRH2fBRmKbSTg%2DfFYvPDzm95iJ74ap%2FmRAZ%2FoMKyskyWiYrzcMmuxqq2p8YE85B%2FYj%2FH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GB/T 11021</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电气绝缘 耐热性和表示方法</w:t>
      </w:r>
    </w:p>
    <w:p>
      <w:pPr>
        <w:spacing w:line="360" w:lineRule="auto"/>
        <w:ind w:firstLine="420" w:firstLineChars="200"/>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JB/T 501</w:t>
      </w:r>
      <w:r>
        <w:rPr>
          <w:rFonts w:hint="default" w:ascii="Times New Roman" w:hAnsi="Times New Roman" w:cs="Times New Roman"/>
          <w:color w:val="auto"/>
          <w:szCs w:val="21"/>
          <w:highlight w:val="none"/>
        </w:rPr>
        <w:tab/>
      </w:r>
      <w:r>
        <w:rPr>
          <w:rFonts w:hint="default" w:ascii="Times New Roman" w:hAnsi="Times New Roman" w:cs="Times New Roman"/>
          <w:color w:val="auto"/>
          <w:szCs w:val="21"/>
          <w:highlight w:val="none"/>
        </w:rPr>
        <w:tab/>
      </w:r>
      <w:r>
        <w:rPr>
          <w:rFonts w:hint="default" w:ascii="Times New Roman" w:hAnsi="Times New Roman" w:cs="Times New Roman"/>
          <w:color w:val="auto"/>
          <w:szCs w:val="21"/>
          <w:highlight w:val="none"/>
        </w:rPr>
        <w:tab/>
      </w:r>
      <w:r>
        <w:rPr>
          <w:rFonts w:hint="default" w:ascii="Times New Roman" w:hAnsi="Times New Roman" w:cs="Times New Roman"/>
          <w:color w:val="auto"/>
          <w:szCs w:val="21"/>
          <w:highlight w:val="none"/>
        </w:rPr>
        <w:t>电力变压器试验导则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JB/T 3837</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变压器类产品型号编制方法</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8SJocei5N09fwhSq1ELkgCd8afSSYnrI0H2C6cgNo92I96RFCkbJ%2F09hIAOxXoZhry7L9pjEJHhT3mWhuC6k1Rqvj0%2FMces%2DbkbdJsNMnjOEt%2DXk%2DKUyeQgxbyJNan7bTEjNQvPfVFnB5MYrey4OaD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JB/T 8971</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172.18.17.61/page/tbsbrowser.cbs?urlname=tbss%3A%2F%2F2Ui9i38FjdR4eWYglMHt8hfJ8SriPxDp0W3uM1xK3xYMt21gRcWz5SlKb1NWrpRN8SJocei5N09fwhSq1ELkgCd8afSSYnrI0H2C6cgNo92I96RFCkbJ%2F09hIAOxXoZhry7L9pjEJHhT3mWhuC6k1Rqvj0%2FMces%2DbkbdJsNMnjOEt%2DXk%2DKUyeQgxbyJNan7bTEjNQvPfVFnB5MYrey4OaDpMC%2DkvT%2F115BBpx3%2DK80UDOSnMLJgSEJGxTrjF9VnfjjjZybEdHsg"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干式变压器用横流式冷却风机</w:t>
      </w:r>
      <w:r>
        <w:rPr>
          <w:rFonts w:hint="default" w:ascii="Times New Roman" w:hAnsi="Times New Roman" w:cs="Times New Roman"/>
          <w:color w:val="auto"/>
          <w:highlight w:val="none"/>
        </w:rPr>
        <w:fldChar w:fldCharType="end"/>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JB/T 10088</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6kV～1000kV级电力变压器声级</w:t>
      </w:r>
    </w:p>
    <w:p>
      <w:pPr>
        <w:pStyle w:val="29"/>
        <w:spacing w:line="360" w:lineRule="auto"/>
        <w:ind w:firstLineChars="200"/>
        <w:rPr>
          <w:rFonts w:hint="default" w:ascii="Times New Roman" w:hAnsi="Times New Roman" w:cs="Times New Roman"/>
          <w:color w:val="auto"/>
          <w:highlight w:val="none"/>
        </w:rPr>
      </w:pPr>
      <w:r>
        <w:rPr>
          <w:rFonts w:hint="default" w:ascii="Times New Roman" w:hAnsi="Times New Roman" w:cs="Times New Roman"/>
        </w:rPr>
        <w:t>JB/T 10544</w:t>
      </w:r>
      <w:r>
        <w:rPr>
          <w:rFonts w:hint="default" w:ascii="Times New Roman" w:hAnsi="Times New Roman" w:cs="Times New Roman"/>
          <w:lang w:val="en-US" w:eastAsia="zh-CN"/>
        </w:rPr>
        <w:t xml:space="preserve">    </w:t>
      </w:r>
      <w:r>
        <w:rPr>
          <w:rFonts w:hint="default" w:ascii="Times New Roman" w:hAnsi="Times New Roman" w:cs="Times New Roman"/>
        </w:rPr>
        <w:t> </w:t>
      </w:r>
      <w:r>
        <w:rPr>
          <w:rFonts w:hint="default" w:ascii="Times New Roman" w:hAnsi="Times New Roman" w:cs="Times New Roman"/>
          <w:lang w:val="en-US" w:eastAsia="zh-CN"/>
        </w:rPr>
        <w:t xml:space="preserve">  </w:t>
      </w:r>
      <w:r>
        <w:rPr>
          <w:rFonts w:hint="default" w:ascii="Times New Roman" w:hAnsi="Times New Roman" w:cs="Times New Roman"/>
        </w:rPr>
        <w:t>地下式变压器</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T/CEC 228-2019  配电变压器绕组材质的热电效应法检测导则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Q/CSG 114002</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电力设备预防性试验规程</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Q/CSG 11111001</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配电变压器能效标准及技术经济评价导则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Q/CSG1203004.3  20kV 及以下电网装备技术导则</w:t>
      </w:r>
    </w:p>
    <w:bookmarkEnd w:id="135"/>
    <w:bookmarkEnd w:id="136"/>
    <w:bookmarkEnd w:id="137"/>
    <w:bookmarkEnd w:id="138"/>
    <w:bookmarkEnd w:id="139"/>
    <w:p>
      <w:pPr>
        <w:pStyle w:val="27"/>
        <w:spacing w:before="317" w:after="317" w:line="400" w:lineRule="atLeast"/>
        <w:rPr>
          <w:rFonts w:hint="default" w:ascii="Times New Roman" w:hAnsi="Times New Roman" w:cs="Times New Roman"/>
          <w:b/>
          <w:color w:val="auto"/>
          <w:highlight w:val="none"/>
        </w:rPr>
      </w:pPr>
      <w:bookmarkStart w:id="140" w:name="_Toc11393"/>
      <w:bookmarkStart w:id="141" w:name="_Toc13118"/>
      <w:bookmarkStart w:id="142" w:name="_Toc419906044"/>
      <w:bookmarkStart w:id="143" w:name="_Toc3349"/>
      <w:bookmarkStart w:id="144" w:name="_Toc23685"/>
      <w:bookmarkStart w:id="145" w:name="_Toc38157363"/>
      <w:bookmarkStart w:id="146" w:name="_Toc28388"/>
      <w:bookmarkStart w:id="147" w:name="_Toc419472613"/>
      <w:bookmarkStart w:id="148" w:name="_Toc14962"/>
      <w:bookmarkStart w:id="149" w:name="_Toc30005"/>
      <w:bookmarkStart w:id="150" w:name="_Toc349226961"/>
      <w:r>
        <w:rPr>
          <w:rFonts w:hint="default" w:ascii="Times New Roman" w:hAnsi="Times New Roman" w:cs="Times New Roman"/>
          <w:b/>
          <w:bCs/>
          <w:color w:val="auto"/>
          <w:highlight w:val="none"/>
        </w:rPr>
        <w:t xml:space="preserve">4 </w:t>
      </w:r>
      <w:r>
        <w:rPr>
          <w:rFonts w:hint="default" w:ascii="Times New Roman" w:hAnsi="Times New Roman" w:cs="Times New Roman"/>
          <w:color w:val="auto"/>
          <w:highlight w:val="none"/>
        </w:rPr>
        <w:t xml:space="preserve"> 使用条件</w:t>
      </w:r>
      <w:bookmarkEnd w:id="140"/>
      <w:bookmarkEnd w:id="141"/>
      <w:bookmarkEnd w:id="142"/>
      <w:bookmarkEnd w:id="143"/>
      <w:bookmarkEnd w:id="144"/>
      <w:bookmarkEnd w:id="145"/>
      <w:bookmarkEnd w:id="146"/>
      <w:bookmarkEnd w:id="147"/>
      <w:bookmarkEnd w:id="148"/>
      <w:bookmarkEnd w:id="149"/>
      <w:bookmarkEnd w:id="150"/>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本规范所规定的设备，除应满足GB 1094.1的要求外，还应能在下列条件使用：</w:t>
      </w:r>
    </w:p>
    <w:tbl>
      <w:tblPr>
        <w:tblStyle w:val="20"/>
        <w:tblW w:w="8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522"/>
        <w:gridCol w:w="2068"/>
        <w:gridCol w:w="1157"/>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b/>
                <w:bCs/>
                <w:color w:val="auto"/>
                <w:highlight w:val="none"/>
                <w:vertAlign w:val="baseline"/>
                <w:lang w:eastAsia="zh-CN"/>
              </w:rPr>
            </w:pPr>
            <w:r>
              <w:rPr>
                <w:rFonts w:hint="default" w:ascii="Times New Roman" w:hAnsi="Times New Roman" w:cs="Times New Roman"/>
                <w:b/>
                <w:bCs/>
                <w:color w:val="auto"/>
                <w:highlight w:val="none"/>
                <w:vertAlign w:val="baseline"/>
                <w:lang w:eastAsia="zh-CN"/>
              </w:rPr>
              <w:t>序号</w:t>
            </w:r>
          </w:p>
        </w:tc>
        <w:tc>
          <w:tcPr>
            <w:tcW w:w="3590" w:type="dxa"/>
            <w:gridSpan w:val="2"/>
            <w:vAlign w:val="center"/>
          </w:tcPr>
          <w:p>
            <w:pPr>
              <w:spacing w:line="360" w:lineRule="auto"/>
              <w:jc w:val="center"/>
              <w:rPr>
                <w:rFonts w:hint="default" w:ascii="Times New Roman" w:hAnsi="Times New Roman" w:eastAsia="宋体" w:cs="Times New Roman"/>
                <w:b/>
                <w:bCs/>
                <w:color w:val="auto"/>
                <w:highlight w:val="none"/>
                <w:vertAlign w:val="baseline"/>
                <w:lang w:eastAsia="zh-CN"/>
              </w:rPr>
            </w:pPr>
            <w:r>
              <w:rPr>
                <w:rFonts w:hint="default" w:ascii="Times New Roman" w:hAnsi="Times New Roman" w:cs="Times New Roman"/>
                <w:b/>
                <w:bCs/>
                <w:color w:val="auto"/>
                <w:highlight w:val="none"/>
                <w:vertAlign w:val="baseline"/>
                <w:lang w:eastAsia="zh-CN"/>
              </w:rPr>
              <w:t>名称</w:t>
            </w:r>
          </w:p>
        </w:tc>
        <w:tc>
          <w:tcPr>
            <w:tcW w:w="1157" w:type="dxa"/>
            <w:vAlign w:val="center"/>
          </w:tcPr>
          <w:p>
            <w:pPr>
              <w:spacing w:line="360" w:lineRule="auto"/>
              <w:jc w:val="center"/>
              <w:rPr>
                <w:rFonts w:hint="default" w:ascii="Times New Roman" w:hAnsi="Times New Roman" w:eastAsia="宋体" w:cs="Times New Roman"/>
                <w:b/>
                <w:bCs/>
                <w:color w:val="auto"/>
                <w:highlight w:val="none"/>
                <w:vertAlign w:val="baseline"/>
                <w:lang w:eastAsia="zh-CN"/>
              </w:rPr>
            </w:pPr>
            <w:r>
              <w:rPr>
                <w:rFonts w:hint="default" w:ascii="Times New Roman" w:hAnsi="Times New Roman" w:cs="Times New Roman"/>
                <w:b/>
                <w:bCs/>
                <w:color w:val="auto"/>
                <w:highlight w:val="none"/>
                <w:vertAlign w:val="baseline"/>
                <w:lang w:eastAsia="zh-CN"/>
              </w:rPr>
              <w:t>单位</w:t>
            </w:r>
          </w:p>
        </w:tc>
        <w:tc>
          <w:tcPr>
            <w:tcW w:w="2960" w:type="dxa"/>
            <w:vAlign w:val="center"/>
          </w:tcPr>
          <w:p>
            <w:pPr>
              <w:spacing w:line="360" w:lineRule="auto"/>
              <w:jc w:val="center"/>
              <w:rPr>
                <w:rFonts w:hint="default" w:ascii="Times New Roman" w:hAnsi="Times New Roman" w:eastAsia="宋体" w:cs="Times New Roman"/>
                <w:b/>
                <w:bCs/>
                <w:color w:val="auto"/>
                <w:highlight w:val="none"/>
                <w:vertAlign w:val="baseline"/>
                <w:lang w:eastAsia="zh-CN"/>
              </w:rPr>
            </w:pPr>
            <w:r>
              <w:rPr>
                <w:rFonts w:hint="default" w:ascii="Times New Roman" w:hAnsi="Times New Roman" w:cs="Times New Roman"/>
                <w:b/>
                <w:bCs/>
                <w:color w:val="auto"/>
                <w:highlight w:val="none"/>
                <w:vertAlign w:val="baseline"/>
                <w:lang w:eastAsia="zh-CN"/>
              </w:rPr>
              <w:t>要求值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1</w:t>
            </w:r>
          </w:p>
        </w:tc>
        <w:tc>
          <w:tcPr>
            <w:tcW w:w="1522" w:type="dxa"/>
            <w:vMerge w:val="restart"/>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eastAsia="宋体" w:cs="Times New Roman"/>
                <w:color w:val="auto"/>
                <w:highlight w:val="none"/>
              </w:rPr>
              <w:t>周围空气温度</w:t>
            </w:r>
          </w:p>
        </w:tc>
        <w:tc>
          <w:tcPr>
            <w:tcW w:w="2068" w:type="dxa"/>
            <w:vAlign w:val="center"/>
          </w:tcPr>
          <w:p>
            <w:pPr>
              <w:spacing w:line="360" w:lineRule="auto"/>
              <w:jc w:val="center"/>
              <w:rPr>
                <w:rFonts w:hint="default" w:ascii="Times New Roman" w:hAnsi="Times New Roman" w:cs="Times New Roman"/>
                <w:color w:val="auto"/>
                <w:highlight w:val="none"/>
                <w:u w:val="none"/>
                <w:vertAlign w:val="baseline"/>
              </w:rPr>
            </w:pPr>
            <w:r>
              <w:rPr>
                <w:rFonts w:hint="default" w:ascii="Times New Roman" w:hAnsi="Times New Roman" w:cs="Times New Roman"/>
                <w:color w:val="auto"/>
                <w:highlight w:val="none"/>
                <w:u w:val="none"/>
              </w:rPr>
              <w:t>最高气温</w:t>
            </w:r>
          </w:p>
        </w:tc>
        <w:tc>
          <w:tcPr>
            <w:tcW w:w="1157" w:type="dxa"/>
            <w:vMerge w:val="restart"/>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w:t>
            </w: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2</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u w:val="none"/>
                <w:vertAlign w:val="baseline"/>
              </w:rPr>
            </w:pPr>
            <w:r>
              <w:rPr>
                <w:rFonts w:hint="default" w:ascii="Times New Roman" w:hAnsi="Times New Roman" w:cs="Times New Roman"/>
                <w:color w:val="auto"/>
                <w:highlight w:val="none"/>
                <w:u w:val="none"/>
              </w:rPr>
              <w:t>最热月平均气温</w:t>
            </w:r>
          </w:p>
        </w:tc>
        <w:tc>
          <w:tcPr>
            <w:tcW w:w="1157"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3</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u w:val="none"/>
                <w:vertAlign w:val="baseline"/>
              </w:rPr>
            </w:pPr>
            <w:r>
              <w:rPr>
                <w:rFonts w:hint="default" w:ascii="Times New Roman" w:hAnsi="Times New Roman" w:cs="Times New Roman"/>
                <w:color w:val="auto"/>
                <w:highlight w:val="none"/>
                <w:u w:val="none"/>
                <w:vertAlign w:val="baseline"/>
              </w:rPr>
              <w:t>年平均气温</w:t>
            </w:r>
          </w:p>
        </w:tc>
        <w:tc>
          <w:tcPr>
            <w:tcW w:w="1157"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4</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最低气温</w:t>
            </w:r>
          </w:p>
        </w:tc>
        <w:tc>
          <w:tcPr>
            <w:tcW w:w="1157"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5</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最大日温差</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K</w:t>
            </w: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 xml:space="preserve">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6</w:t>
            </w:r>
          </w:p>
        </w:tc>
        <w:tc>
          <w:tcPr>
            <w:tcW w:w="3590" w:type="dxa"/>
            <w:gridSpan w:val="2"/>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日照强度(风速0.5m/s)</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W/cm</w:t>
            </w:r>
            <w:r>
              <w:rPr>
                <w:rFonts w:hint="default" w:ascii="Times New Roman" w:hAnsi="Times New Roman" w:cs="Times New Roman"/>
                <w:color w:val="auto"/>
                <w:highlight w:val="none"/>
                <w:vertAlign w:val="superscript"/>
              </w:rPr>
              <w:t>2</w:t>
            </w: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7</w:t>
            </w:r>
          </w:p>
        </w:tc>
        <w:tc>
          <w:tcPr>
            <w:tcW w:w="3590" w:type="dxa"/>
            <w:gridSpan w:val="2"/>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eastAsia="宋体" w:cs="Times New Roman"/>
                <w:color w:val="auto"/>
                <w:highlight w:val="none"/>
              </w:rPr>
              <w:t>海拔高度</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m</w:t>
            </w: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rPr>
              <w:t>1</w:t>
            </w:r>
            <w:r>
              <w:rPr>
                <w:rFonts w:hint="default" w:ascii="Times New Roman" w:hAnsi="Times New Roman" w:cs="Times New Roman"/>
                <w:color w:val="auto"/>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8</w:t>
            </w:r>
          </w:p>
        </w:tc>
        <w:tc>
          <w:tcPr>
            <w:tcW w:w="1522" w:type="dxa"/>
            <w:vMerge w:val="restart"/>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eastAsia="宋体" w:cs="Times New Roman"/>
                <w:color w:val="auto"/>
                <w:highlight w:val="none"/>
              </w:rPr>
              <w:t>环境相对湿度(在25℃时)</w:t>
            </w:r>
          </w:p>
        </w:tc>
        <w:tc>
          <w:tcPr>
            <w:tcW w:w="2068" w:type="dxa"/>
            <w:vAlign w:val="center"/>
          </w:tcPr>
          <w:p>
            <w:pPr>
              <w:spacing w:line="360" w:lineRule="auto"/>
              <w:jc w:val="center"/>
              <w:rPr>
                <w:rFonts w:hint="default" w:ascii="Times New Roman" w:hAnsi="Times New Roman" w:eastAsia="宋体" w:cs="Times New Roman"/>
                <w:color w:val="auto"/>
                <w:highlight w:val="none"/>
              </w:rPr>
            </w:pPr>
            <w:r>
              <w:rPr>
                <w:rFonts w:hint="default" w:ascii="Times New Roman" w:hAnsi="Times New Roman" w:cs="Times New Roman"/>
                <w:color w:val="auto"/>
                <w:highlight w:val="none"/>
              </w:rPr>
              <w:t>日平均值</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9</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rPr>
              <w:t>月平均值</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10</w:t>
            </w:r>
          </w:p>
        </w:tc>
        <w:tc>
          <w:tcPr>
            <w:tcW w:w="1522" w:type="dxa"/>
            <w:vMerge w:val="restart"/>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耐受地震能力</w:t>
            </w:r>
          </w:p>
        </w:tc>
        <w:tc>
          <w:tcPr>
            <w:tcW w:w="2068" w:type="dxa"/>
            <w:vAlign w:val="center"/>
          </w:tcPr>
          <w:p>
            <w:pPr>
              <w:spacing w:line="360" w:lineRule="auto"/>
              <w:jc w:val="center"/>
              <w:rPr>
                <w:rFonts w:hint="default" w:ascii="Times New Roman" w:hAnsi="Times New Roman" w:eastAsia="宋体" w:cs="Times New Roman"/>
                <w:color w:val="auto"/>
                <w:highlight w:val="none"/>
                <w:vertAlign w:val="baseline"/>
                <w:lang w:eastAsia="zh-CN"/>
              </w:rPr>
            </w:pPr>
            <w:r>
              <w:rPr>
                <w:rFonts w:hint="default" w:ascii="Times New Roman" w:hAnsi="Times New Roman" w:cs="Times New Roman"/>
                <w:color w:val="auto"/>
                <w:highlight w:val="none"/>
                <w:vertAlign w:val="baseline"/>
                <w:lang w:eastAsia="zh-CN"/>
              </w:rPr>
              <w:t>地面水平加速度</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eastAsia="宋体" w:cs="Times New Roman"/>
                <w:color w:val="auto"/>
                <w:sz w:val="21"/>
                <w:szCs w:val="24"/>
                <w:highlight w:val="none"/>
                <w:vertAlign w:val="baseline"/>
                <w:lang w:val="en-US" w:eastAsia="zh-CN"/>
              </w:rPr>
              <w:t>m/s</w:t>
            </w:r>
            <w:r>
              <w:rPr>
                <w:rFonts w:hint="default" w:ascii="Times New Roman" w:hAnsi="Times New Roman" w:eastAsia="宋体" w:cs="Times New Roman"/>
                <w:color w:val="auto"/>
                <w:sz w:val="21"/>
                <w:szCs w:val="24"/>
                <w:highlight w:val="none"/>
                <w:vertAlign w:val="superscript"/>
                <w:lang w:val="en-US" w:eastAsia="zh-CN"/>
              </w:rPr>
              <w:t>2</w:t>
            </w:r>
          </w:p>
        </w:tc>
        <w:tc>
          <w:tcPr>
            <w:tcW w:w="2960" w:type="dxa"/>
            <w:vAlign w:val="center"/>
          </w:tcPr>
          <w:p>
            <w:pPr>
              <w:spacing w:line="360" w:lineRule="auto"/>
              <w:jc w:val="center"/>
              <w:rPr>
                <w:rFonts w:hint="default" w:ascii="Times New Roman" w:hAnsi="Times New Roman" w:cs="Times New Roman"/>
                <w:color w:val="auto"/>
                <w:szCs w:val="21"/>
                <w:highlight w:val="none"/>
                <w:vertAlign w:val="baseline"/>
              </w:rPr>
            </w:pPr>
            <w:r>
              <w:rPr>
                <w:rFonts w:hint="default" w:ascii="Times New Roman" w:hAnsi="Times New Roman" w:eastAsia="宋体" w:cs="Times New Roman"/>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11</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eastAsia="宋体" w:cs="Times New Roman"/>
                <w:color w:val="auto"/>
                <w:highlight w:val="none"/>
                <w:vertAlign w:val="baseline"/>
                <w:lang w:eastAsia="zh-CN"/>
              </w:rPr>
            </w:pPr>
            <w:r>
              <w:rPr>
                <w:rFonts w:hint="default" w:ascii="Times New Roman" w:hAnsi="Times New Roman" w:cs="Times New Roman"/>
                <w:color w:val="auto"/>
                <w:highlight w:val="none"/>
                <w:vertAlign w:val="baseline"/>
                <w:lang w:eastAsia="zh-CN"/>
              </w:rPr>
              <w:t>正弦共振三个周期安全系数</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cs="Times New Roman"/>
                <w:color w:val="auto"/>
                <w:szCs w:val="21"/>
                <w:highlight w:val="none"/>
                <w:vertAlign w:val="baseline"/>
              </w:rPr>
            </w:pPr>
            <w:r>
              <w:rPr>
                <w:rFonts w:hint="default" w:ascii="Times New Roman" w:hAnsi="Times New Roman" w:eastAsia="宋体" w:cs="Times New Roman"/>
                <w:color w:val="auto"/>
                <w:sz w:val="21"/>
                <w:szCs w:val="21"/>
                <w:highlight w:val="none"/>
                <w:vertAlign w:val="baseline"/>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2"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vertAlign w:val="baseline"/>
                <w:lang w:val="en-US" w:eastAsia="zh-CN"/>
              </w:rPr>
              <w:t>12</w:t>
            </w:r>
          </w:p>
        </w:tc>
        <w:tc>
          <w:tcPr>
            <w:tcW w:w="1522" w:type="dxa"/>
            <w:vMerge w:val="continue"/>
            <w:vAlign w:val="center"/>
          </w:tcPr>
          <w:p>
            <w:pPr>
              <w:spacing w:line="360" w:lineRule="auto"/>
              <w:jc w:val="center"/>
              <w:rPr>
                <w:rFonts w:hint="default" w:ascii="Times New Roman" w:hAnsi="Times New Roman" w:cs="Times New Roman"/>
                <w:color w:val="auto"/>
                <w:highlight w:val="none"/>
                <w:vertAlign w:val="baseline"/>
              </w:rPr>
            </w:pPr>
          </w:p>
        </w:tc>
        <w:tc>
          <w:tcPr>
            <w:tcW w:w="2068" w:type="dxa"/>
            <w:vAlign w:val="center"/>
          </w:tcPr>
          <w:p>
            <w:pPr>
              <w:spacing w:line="360" w:lineRule="auto"/>
              <w:jc w:val="center"/>
              <w:rPr>
                <w:rFonts w:hint="default" w:ascii="Times New Roman" w:hAnsi="Times New Roman" w:cs="Times New Roman"/>
                <w:color w:val="auto"/>
                <w:highlight w:val="none"/>
                <w:vertAlign w:val="baseline"/>
              </w:rPr>
            </w:pPr>
            <w:r>
              <w:rPr>
                <w:rFonts w:hint="default" w:ascii="Times New Roman" w:hAnsi="Times New Roman" w:cs="Times New Roman"/>
                <w:color w:val="auto"/>
                <w:highlight w:val="none"/>
                <w:lang w:val="en-US" w:eastAsia="zh-CN"/>
              </w:rPr>
              <w:t>地震烈度</w:t>
            </w:r>
          </w:p>
        </w:tc>
        <w:tc>
          <w:tcPr>
            <w:tcW w:w="1157" w:type="dxa"/>
            <w:vAlign w:val="center"/>
          </w:tcPr>
          <w:p>
            <w:pPr>
              <w:spacing w:line="360" w:lineRule="auto"/>
              <w:jc w:val="center"/>
              <w:rPr>
                <w:rFonts w:hint="default" w:ascii="Times New Roman" w:hAnsi="Times New Roman" w:cs="Times New Roman"/>
                <w:color w:val="auto"/>
                <w:highlight w:val="none"/>
                <w:vertAlign w:val="baseline"/>
              </w:rPr>
            </w:pPr>
          </w:p>
        </w:tc>
        <w:tc>
          <w:tcPr>
            <w:tcW w:w="2960" w:type="dxa"/>
            <w:vAlign w:val="center"/>
          </w:tcPr>
          <w:p>
            <w:pPr>
              <w:spacing w:line="360" w:lineRule="auto"/>
              <w:jc w:val="center"/>
              <w:rPr>
                <w:rFonts w:hint="default" w:ascii="Times New Roman" w:hAnsi="Times New Roman" w:eastAsia="宋体" w:cs="Times New Roman"/>
                <w:color w:val="auto"/>
                <w:highlight w:val="none"/>
                <w:vertAlign w:val="baseline"/>
                <w:lang w:val="en-US" w:eastAsia="zh-CN"/>
              </w:rPr>
            </w:pPr>
            <w:r>
              <w:rPr>
                <w:rFonts w:hint="default" w:ascii="Times New Roman" w:hAnsi="Times New Roman" w:cs="Times New Roman"/>
                <w:color w:val="auto"/>
                <w:highlight w:val="none"/>
              </w:rPr>
              <w:t>Ⅷ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52" w:type="dxa"/>
            <w:vAlign w:val="center"/>
          </w:tcPr>
          <w:p>
            <w:pPr>
              <w:spacing w:line="360" w:lineRule="auto"/>
              <w:jc w:val="center"/>
              <w:rPr>
                <w:rFonts w:hint="default" w:ascii="Times New Roman" w:hAnsi="Times New Roman" w:eastAsia="宋体" w:cs="Times New Roman"/>
                <w:color w:val="auto"/>
                <w:kern w:val="2"/>
                <w:sz w:val="21"/>
                <w:szCs w:val="24"/>
                <w:highlight w:val="none"/>
                <w:vertAlign w:val="baseline"/>
                <w:lang w:val="en-US" w:eastAsia="zh-CN" w:bidi="ar-SA"/>
              </w:rPr>
            </w:pPr>
            <w:r>
              <w:rPr>
                <w:rFonts w:hint="default" w:ascii="Times New Roman" w:hAnsi="Times New Roman" w:cs="Times New Roman"/>
                <w:color w:val="auto"/>
                <w:highlight w:val="none"/>
                <w:vertAlign w:val="baseline"/>
                <w:lang w:val="en-US" w:eastAsia="zh-CN"/>
              </w:rPr>
              <w:t>14</w:t>
            </w:r>
          </w:p>
        </w:tc>
        <w:tc>
          <w:tcPr>
            <w:tcW w:w="3590" w:type="dxa"/>
            <w:gridSpan w:val="2"/>
            <w:vAlign w:val="center"/>
          </w:tcPr>
          <w:p>
            <w:pPr>
              <w:spacing w:line="360" w:lineRule="auto"/>
              <w:jc w:val="center"/>
              <w:rPr>
                <w:rFonts w:hint="default" w:ascii="Times New Roman" w:hAnsi="Times New Roman" w:cs="Times New Roman"/>
                <w:color w:val="auto"/>
                <w:kern w:val="2"/>
                <w:sz w:val="21"/>
                <w:szCs w:val="24"/>
                <w:highlight w:val="none"/>
                <w:vertAlign w:val="baseline"/>
                <w:lang w:val="en-US" w:eastAsia="zh-CN" w:bidi="ar-SA"/>
              </w:rPr>
            </w:pPr>
            <w:r>
              <w:rPr>
                <w:rFonts w:hint="default" w:ascii="Times New Roman" w:hAnsi="Times New Roman" w:eastAsia="宋体" w:cs="Times New Roman"/>
                <w:color w:val="auto"/>
                <w:highlight w:val="none"/>
              </w:rPr>
              <w:t>安装地点</w:t>
            </w:r>
          </w:p>
        </w:tc>
        <w:tc>
          <w:tcPr>
            <w:tcW w:w="1157" w:type="dxa"/>
            <w:vAlign w:val="center"/>
          </w:tcPr>
          <w:p>
            <w:pPr>
              <w:spacing w:line="360" w:lineRule="auto"/>
              <w:jc w:val="center"/>
              <w:rPr>
                <w:rFonts w:hint="default" w:ascii="Times New Roman" w:hAnsi="Times New Roman" w:cs="Times New Roman"/>
                <w:color w:val="auto"/>
                <w:kern w:val="2"/>
                <w:sz w:val="21"/>
                <w:szCs w:val="24"/>
                <w:highlight w:val="none"/>
                <w:vertAlign w:val="baseline"/>
                <w:lang w:val="en-US" w:eastAsia="zh-CN" w:bidi="ar-SA"/>
              </w:rPr>
            </w:pPr>
          </w:p>
        </w:tc>
        <w:tc>
          <w:tcPr>
            <w:tcW w:w="2960" w:type="dxa"/>
            <w:vAlign w:val="center"/>
          </w:tcPr>
          <w:p>
            <w:pPr>
              <w:spacing w:line="360" w:lineRule="auto"/>
              <w:ind w:firstLine="420" w:firstLineChars="200"/>
              <w:jc w:val="center"/>
              <w:rPr>
                <w:rFonts w:hint="default" w:ascii="Times New Roman" w:hAnsi="Times New Roman" w:cs="Times New Roman"/>
                <w:color w:val="auto"/>
                <w:kern w:val="2"/>
                <w:sz w:val="21"/>
                <w:szCs w:val="24"/>
                <w:highlight w:val="none"/>
                <w:vertAlign w:val="baseline"/>
                <w:lang w:val="en-US" w:eastAsia="zh-CN" w:bidi="ar-SA"/>
              </w:rPr>
            </w:pPr>
            <w:r>
              <w:rPr>
                <w:rFonts w:hint="default" w:ascii="Times New Roman" w:hAnsi="Times New Roman" w:cs="Times New Roman"/>
                <w:color w:val="auto"/>
                <w:highlight w:val="none"/>
              </w:rPr>
              <w:t>户内</w:t>
            </w:r>
          </w:p>
        </w:tc>
      </w:tr>
    </w:tbl>
    <w:p>
      <w:pPr>
        <w:pStyle w:val="29"/>
        <w:spacing w:line="360" w:lineRule="auto"/>
        <w:ind w:firstLine="0" w:firstLineChars="0"/>
        <w:rPr>
          <w:rFonts w:hint="default" w:ascii="Times New Roman" w:hAnsi="Times New Roman" w:cs="Times New Roman"/>
          <w:color w:val="auto"/>
          <w:highlight w:val="none"/>
        </w:rPr>
      </w:pPr>
    </w:p>
    <w:p>
      <w:pPr>
        <w:pStyle w:val="25"/>
        <w:rPr>
          <w:rFonts w:hint="default" w:ascii="Times New Roman" w:hAnsi="Times New Roman" w:cs="Times New Roman"/>
          <w:color w:val="auto"/>
          <w:highlight w:val="none"/>
        </w:rPr>
      </w:pPr>
      <w:bookmarkStart w:id="151" w:name="_Toc38157365"/>
      <w:bookmarkStart w:id="152" w:name="_Toc5603"/>
      <w:bookmarkStart w:id="153" w:name="_Toc21952"/>
      <w:bookmarkStart w:id="154" w:name="_Toc419906046"/>
      <w:bookmarkStart w:id="155" w:name="_Toc25401"/>
      <w:bookmarkStart w:id="156" w:name="_Toc10566"/>
      <w:bookmarkStart w:id="157" w:name="_Toc10474"/>
      <w:bookmarkStart w:id="158" w:name="_Toc419906342"/>
      <w:bookmarkStart w:id="159" w:name="_Toc22164"/>
      <w:bookmarkStart w:id="160" w:name="_Toc18518"/>
      <w:r>
        <w:rPr>
          <w:rFonts w:hint="default" w:ascii="Times New Roman" w:hAnsi="Times New Roman" w:cs="Times New Roman"/>
          <w:b/>
          <w:bCs/>
          <w:color w:val="auto"/>
          <w:highlight w:val="none"/>
        </w:rPr>
        <w:t>4.</w:t>
      </w:r>
      <w:r>
        <w:rPr>
          <w:rFonts w:hint="default" w:ascii="Times New Roman" w:hAnsi="Times New Roman" w:cs="Times New Roman"/>
          <w:b/>
          <w:bCs/>
          <w:color w:val="auto"/>
          <w:highlight w:val="none"/>
          <w:lang w:val="en-US" w:eastAsia="zh-CN"/>
        </w:rPr>
        <w:t>1</w:t>
      </w:r>
      <w:r>
        <w:rPr>
          <w:rFonts w:hint="default" w:ascii="Times New Roman" w:hAnsi="Times New Roman" w:cs="Times New Roman"/>
          <w:color w:val="auto"/>
          <w:highlight w:val="none"/>
        </w:rPr>
        <w:t xml:space="preserve"> 特殊环境条件的规定</w:t>
      </w:r>
      <w:bookmarkEnd w:id="151"/>
      <w:bookmarkEnd w:id="152"/>
      <w:bookmarkEnd w:id="153"/>
      <w:bookmarkEnd w:id="154"/>
      <w:bookmarkEnd w:id="155"/>
      <w:bookmarkEnd w:id="156"/>
      <w:bookmarkEnd w:id="157"/>
      <w:bookmarkEnd w:id="158"/>
      <w:bookmarkEnd w:id="159"/>
      <w:bookmarkEnd w:id="160"/>
    </w:p>
    <w:p>
      <w:pPr>
        <w:pStyle w:val="33"/>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投标方应对正常使用条件之外的特殊使用条件涉及的相关事项，在询价和订货时特别说明。</w:t>
      </w:r>
    </w:p>
    <w:p>
      <w:pPr>
        <w:pStyle w:val="34"/>
        <w:adjustRightInd w:val="0"/>
        <w:spacing w:line="360" w:lineRule="auto"/>
        <w:ind w:firstLine="0" w:firstLineChars="0"/>
        <w:rPr>
          <w:rFonts w:hint="default" w:ascii="Times New Roman" w:hAnsi="Times New Roman" w:eastAsia="宋体" w:cs="Times New Roman"/>
          <w:color w:val="auto"/>
          <w:kern w:val="2"/>
          <w:sz w:val="21"/>
          <w:highlight w:val="none"/>
        </w:rPr>
      </w:pPr>
      <w:r>
        <w:rPr>
          <w:rFonts w:hint="default" w:ascii="Times New Roman" w:hAnsi="Times New Roman" w:eastAsia="黑体" w:cs="Times New Roman"/>
          <w:b/>
          <w:bCs/>
          <w:color w:val="auto"/>
          <w:sz w:val="21"/>
          <w:highlight w:val="none"/>
        </w:rPr>
        <w:t>4.</w:t>
      </w:r>
      <w:r>
        <w:rPr>
          <w:rFonts w:hint="default" w:ascii="Times New Roman" w:hAnsi="Times New Roman" w:eastAsia="黑体" w:cs="Times New Roman"/>
          <w:b/>
          <w:bCs/>
          <w:color w:val="auto"/>
          <w:sz w:val="21"/>
          <w:highlight w:val="none"/>
          <w:lang w:val="en-US" w:eastAsia="zh-CN"/>
        </w:rPr>
        <w:t>1</w:t>
      </w:r>
      <w:r>
        <w:rPr>
          <w:rFonts w:hint="default" w:ascii="Times New Roman" w:hAnsi="Times New Roman" w:eastAsia="黑体" w:cs="Times New Roman"/>
          <w:b/>
          <w:bCs/>
          <w:color w:val="auto"/>
          <w:sz w:val="21"/>
          <w:highlight w:val="none"/>
        </w:rPr>
        <w:t>.1</w:t>
      </w:r>
      <w:r>
        <w:rPr>
          <w:rFonts w:hint="default" w:ascii="Times New Roman" w:hAnsi="Times New Roman" w:eastAsia="黑体" w:cs="Times New Roman"/>
          <w:color w:val="auto"/>
          <w:sz w:val="21"/>
          <w:highlight w:val="none"/>
        </w:rPr>
        <w:t xml:space="preserve"> </w:t>
      </w:r>
      <w:r>
        <w:rPr>
          <w:rFonts w:hint="default" w:ascii="Times New Roman" w:hAnsi="Times New Roman" w:eastAsia="宋体" w:cs="Times New Roman"/>
          <w:color w:val="auto"/>
          <w:kern w:val="2"/>
          <w:sz w:val="21"/>
          <w:highlight w:val="none"/>
        </w:rPr>
        <w:t>对周围环境空气温度高于40℃处的设备，其外绝缘在干燥状态下的试验电压应取本标准的额定耐受电压值乘以温度校正因数Kt</w:t>
      </w:r>
    </w:p>
    <w:p>
      <w:pPr>
        <w:pStyle w:val="34"/>
        <w:adjustRightInd w:val="0"/>
        <w:spacing w:line="360" w:lineRule="auto"/>
        <w:jc w:val="center"/>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object>
          <v:shape id="_x0000_i1025" o:spt="75" type="#_x0000_t75" style="height:18.45pt;width:117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式中：T ——环境空气温度，℃）</w:t>
      </w:r>
    </w:p>
    <w:p>
      <w:pPr>
        <w:pStyle w:val="34"/>
        <w:adjustRightInd w:val="0"/>
        <w:snapToGrid w:val="0"/>
        <w:spacing w:line="360" w:lineRule="auto"/>
        <w:ind w:firstLine="0" w:firstLineChars="0"/>
        <w:rPr>
          <w:rFonts w:hint="default" w:ascii="Times New Roman" w:hAnsi="Times New Roman" w:eastAsia="宋体" w:cs="Times New Roman"/>
          <w:color w:val="auto"/>
          <w:sz w:val="21"/>
          <w:szCs w:val="21"/>
          <w:highlight w:val="none"/>
        </w:rPr>
      </w:pPr>
      <w:r>
        <w:rPr>
          <w:rFonts w:hint="default" w:ascii="Times New Roman" w:hAnsi="Times New Roman" w:eastAsia="黑体" w:cs="Times New Roman"/>
          <w:b/>
          <w:bCs/>
          <w:color w:val="auto"/>
          <w:sz w:val="21"/>
          <w:highlight w:val="none"/>
        </w:rPr>
        <w:t>4.</w:t>
      </w:r>
      <w:r>
        <w:rPr>
          <w:rFonts w:hint="default" w:ascii="Times New Roman" w:hAnsi="Times New Roman" w:eastAsia="黑体" w:cs="Times New Roman"/>
          <w:b/>
          <w:bCs/>
          <w:color w:val="auto"/>
          <w:sz w:val="21"/>
          <w:highlight w:val="none"/>
          <w:lang w:val="en-US" w:eastAsia="zh-CN"/>
        </w:rPr>
        <w:t>1</w:t>
      </w:r>
      <w:r>
        <w:rPr>
          <w:rFonts w:hint="default" w:ascii="Times New Roman" w:hAnsi="Times New Roman" w:eastAsia="黑体" w:cs="Times New Roman"/>
          <w:b/>
          <w:bCs/>
          <w:color w:val="auto"/>
          <w:sz w:val="21"/>
          <w:highlight w:val="none"/>
        </w:rPr>
        <w:t xml:space="preserve">.2 </w:t>
      </w:r>
      <w:r>
        <w:rPr>
          <w:rFonts w:hint="default" w:ascii="Times New Roman" w:hAnsi="Times New Roman" w:eastAsia="宋体" w:cs="Times New Roman"/>
          <w:color w:val="auto"/>
          <w:kern w:val="2"/>
          <w:sz w:val="21"/>
          <w:highlight w:val="none"/>
        </w:rPr>
        <w:t>对于安装在海拔高于1000m处的设备，外绝缘在使用地点的绝缘耐受水平应为额定绝缘水平乘以海拔修正系数</w:t>
      </w:r>
      <w:r>
        <w:rPr>
          <w:rFonts w:hint="default" w:ascii="Times New Roman" w:hAnsi="Times New Roman" w:eastAsia="宋体" w:cs="Times New Roman"/>
          <w:i/>
          <w:iCs/>
          <w:color w:val="auto"/>
          <w:kern w:val="2"/>
          <w:sz w:val="21"/>
          <w:highlight w:val="none"/>
        </w:rPr>
        <w:t>Ka</w:t>
      </w:r>
      <w:r>
        <w:rPr>
          <w:rFonts w:hint="default" w:ascii="Times New Roman" w:hAnsi="Times New Roman" w:eastAsia="宋体" w:cs="Times New Roman"/>
          <w:color w:val="auto"/>
          <w:kern w:val="2"/>
          <w:sz w:val="21"/>
          <w:highlight w:val="none"/>
        </w:rPr>
        <w:t>。对于海拔1000m及以下不需要修正，海拔修正系数</w:t>
      </w:r>
      <w:r>
        <w:rPr>
          <w:rFonts w:hint="default" w:ascii="Times New Roman" w:hAnsi="Times New Roman" w:eastAsia="宋体" w:cs="Times New Roman"/>
          <w:i/>
          <w:iCs/>
          <w:color w:val="auto"/>
          <w:kern w:val="2"/>
          <w:sz w:val="21"/>
          <w:highlight w:val="none"/>
        </w:rPr>
        <w:t>Ka</w:t>
      </w:r>
      <w:r>
        <w:rPr>
          <w:rFonts w:hint="default" w:ascii="Times New Roman" w:hAnsi="Times New Roman" w:eastAsia="宋体" w:cs="Times New Roman"/>
          <w:color w:val="auto"/>
          <w:kern w:val="2"/>
          <w:sz w:val="21"/>
          <w:highlight w:val="none"/>
        </w:rPr>
        <w:t>可按下式计算：</w:t>
      </w:r>
    </w:p>
    <w:p>
      <w:pPr>
        <w:pStyle w:val="34"/>
        <w:adjustRightInd w:val="0"/>
        <w:spacing w:line="360" w:lineRule="auto"/>
        <w:ind w:firstLine="422"/>
        <w:jc w:val="center"/>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b/>
          <w:bCs/>
          <w:color w:val="auto"/>
          <w:kern w:val="2"/>
          <w:position w:val="-10"/>
          <w:sz w:val="21"/>
          <w:highlight w:val="none"/>
        </w:rPr>
        <w:object>
          <v:shape id="_x0000_i1026" o:spt="75" type="#_x0000_t75" style="height:19.3pt;width:102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式中：</w: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H ——设备安装地点的海拔高度（单位m）；</w: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m=1    对于工频、雷电冲击和相间操作冲击电压；</w: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m=0.9  对于纵绝缘操作冲击电压；</w: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rPr>
        <w:t>m=0.75 对于相对地操作冲击电压。</w:t>
      </w:r>
    </w:p>
    <w:p>
      <w:pPr>
        <w:pStyle w:val="34"/>
        <w:adjustRightInd w:val="0"/>
        <w:spacing w:line="360" w:lineRule="auto"/>
        <w:rPr>
          <w:rFonts w:hint="default" w:ascii="Times New Roman" w:hAnsi="Times New Roman" w:eastAsia="宋体" w:cs="Times New Roman"/>
          <w:color w:val="auto"/>
          <w:kern w:val="2"/>
          <w:sz w:val="21"/>
          <w:highlight w:val="none"/>
        </w:rPr>
      </w:pPr>
      <w:r>
        <w:rPr>
          <w:rFonts w:hint="default" w:ascii="Times New Roman" w:hAnsi="Times New Roman" w:eastAsia="宋体" w:cs="Times New Roman"/>
          <w:color w:val="auto"/>
          <w:kern w:val="2"/>
          <w:sz w:val="21"/>
          <w:highlight w:val="none"/>
          <w:lang w:val="en-US" w:eastAsia="zh-CN"/>
        </w:rPr>
        <w:t>对于外施耐受电压水平按照GB/T 1094.11 第11.2条款和表4修正系数进行修正。</w:t>
      </w:r>
      <w:r>
        <w:rPr>
          <w:rFonts w:hint="default" w:ascii="Times New Roman" w:hAnsi="Times New Roman" w:eastAsia="宋体" w:cs="Times New Roman"/>
          <w:color w:val="auto"/>
          <w:kern w:val="2"/>
          <w:sz w:val="21"/>
          <w:highlight w:val="none"/>
        </w:rPr>
        <w:t>对于低压辅助设备和控制设备，如果海拔低于2000m，不需要采用特别的措施，对于更高的海拔见GB/T 16935。</w:t>
      </w:r>
    </w:p>
    <w:p>
      <w:pPr>
        <w:pStyle w:val="25"/>
        <w:rPr>
          <w:rFonts w:hint="default" w:ascii="Times New Roman" w:hAnsi="Times New Roman" w:cs="Times New Roman"/>
          <w:color w:val="auto"/>
          <w:szCs w:val="21"/>
          <w:highlight w:val="none"/>
        </w:rPr>
      </w:pPr>
      <w:bookmarkStart w:id="161" w:name="_Toc38157366"/>
      <w:bookmarkStart w:id="162" w:name="_Toc13900"/>
      <w:bookmarkStart w:id="163" w:name="_Toc25724"/>
      <w:bookmarkStart w:id="164" w:name="_Toc3619"/>
      <w:bookmarkStart w:id="165" w:name="_Toc29688"/>
      <w:bookmarkStart w:id="166" w:name="_Toc24171"/>
      <w:bookmarkStart w:id="167" w:name="_Toc23617"/>
      <w:bookmarkStart w:id="168" w:name="_Toc15262"/>
      <w:bookmarkStart w:id="169" w:name="_Toc419906047"/>
      <w:bookmarkStart w:id="170" w:name="_Toc419906343"/>
      <w:r>
        <w:rPr>
          <w:rFonts w:hint="default" w:ascii="Times New Roman" w:hAnsi="Times New Roman" w:cs="Times New Roman"/>
          <w:b/>
          <w:bCs/>
          <w:color w:val="auto"/>
          <w:szCs w:val="21"/>
          <w:highlight w:val="none"/>
        </w:rPr>
        <w:t>4.</w:t>
      </w:r>
      <w:r>
        <w:rPr>
          <w:rFonts w:hint="default" w:ascii="Times New Roman" w:hAnsi="Times New Roman" w:cs="Times New Roman"/>
          <w:b/>
          <w:bCs/>
          <w:color w:val="auto"/>
          <w:szCs w:val="21"/>
          <w:highlight w:val="none"/>
          <w:lang w:val="en-US" w:eastAsia="zh-CN"/>
        </w:rPr>
        <w:t>2</w:t>
      </w:r>
      <w:r>
        <w:rPr>
          <w:rFonts w:hint="default" w:ascii="Times New Roman" w:hAnsi="Times New Roman" w:cs="Times New Roman"/>
          <w:color w:val="auto"/>
          <w:szCs w:val="21"/>
          <w:highlight w:val="none"/>
        </w:rPr>
        <w:t xml:space="preserve"> 系统条件要求</w:t>
      </w:r>
      <w:bookmarkEnd w:id="161"/>
      <w:bookmarkEnd w:id="162"/>
      <w:bookmarkEnd w:id="163"/>
      <w:bookmarkEnd w:id="164"/>
      <w:bookmarkEnd w:id="165"/>
      <w:bookmarkEnd w:id="166"/>
      <w:bookmarkEnd w:id="167"/>
      <w:bookmarkEnd w:id="168"/>
      <w:bookmarkEnd w:id="169"/>
      <w:bookmarkEnd w:id="170"/>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本规范所规定的设备，应适用于下列电力系统：</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系统中性点接地方式：10kV系统——不接地、消弧线圈接地或小电阻接地</w:t>
      </w:r>
    </w:p>
    <w:p>
      <w:pPr>
        <w:spacing w:line="360" w:lineRule="auto"/>
        <w:ind w:firstLine="2520" w:firstLineChars="1200"/>
        <w:rPr>
          <w:rFonts w:hint="default" w:ascii="Times New Roman" w:hAnsi="Times New Roman" w:cs="Times New Roman"/>
          <w:color w:val="auto"/>
          <w:highlight w:val="none"/>
        </w:rPr>
      </w:pPr>
      <w:r>
        <w:rPr>
          <w:rFonts w:hint="default" w:ascii="Times New Roman" w:hAnsi="Times New Roman" w:cs="Times New Roman"/>
          <w:color w:val="auto"/>
          <w:highlight w:val="none"/>
        </w:rPr>
        <w:t>0.4kV系统——直接接地</w:t>
      </w:r>
    </w:p>
    <w:p>
      <w:pPr>
        <w:pStyle w:val="27"/>
        <w:spacing w:before="317" w:after="317" w:line="400" w:lineRule="atLeast"/>
        <w:rPr>
          <w:rFonts w:hint="default" w:ascii="Times New Roman" w:hAnsi="Times New Roman" w:cs="Times New Roman"/>
          <w:color w:val="auto"/>
          <w:highlight w:val="none"/>
        </w:rPr>
      </w:pPr>
      <w:bookmarkStart w:id="171" w:name="_Toc16928"/>
      <w:bookmarkStart w:id="172" w:name="_Toc4692"/>
      <w:bookmarkStart w:id="173" w:name="_Toc38157367"/>
      <w:bookmarkStart w:id="174" w:name="_Toc419472614"/>
      <w:bookmarkStart w:id="175" w:name="_Toc349226962"/>
      <w:bookmarkStart w:id="176" w:name="_Toc15969"/>
      <w:bookmarkStart w:id="177" w:name="_Toc28923"/>
      <w:bookmarkStart w:id="178" w:name="_Toc419906048"/>
      <w:bookmarkStart w:id="179" w:name="_Toc4063"/>
      <w:bookmarkStart w:id="180" w:name="_Toc4271"/>
      <w:bookmarkStart w:id="181" w:name="_Toc18229"/>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技术要求</w:t>
      </w:r>
      <w:bookmarkEnd w:id="171"/>
      <w:bookmarkEnd w:id="172"/>
      <w:bookmarkEnd w:id="173"/>
      <w:bookmarkEnd w:id="174"/>
      <w:bookmarkEnd w:id="175"/>
      <w:bookmarkEnd w:id="176"/>
      <w:bookmarkEnd w:id="177"/>
      <w:bookmarkEnd w:id="178"/>
      <w:bookmarkEnd w:id="179"/>
      <w:bookmarkEnd w:id="180"/>
      <w:bookmarkEnd w:id="181"/>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本规范所规定的设备除应满足GB 1094等标准的要求外，还应满足以下要求：</w:t>
      </w:r>
    </w:p>
    <w:p>
      <w:pPr>
        <w:pStyle w:val="25"/>
        <w:rPr>
          <w:rFonts w:hint="default" w:ascii="Times New Roman" w:hAnsi="Times New Roman" w:cs="Times New Roman"/>
          <w:color w:val="auto"/>
          <w:highlight w:val="none"/>
        </w:rPr>
      </w:pPr>
      <w:bookmarkStart w:id="182" w:name="_Toc27405"/>
      <w:bookmarkStart w:id="183" w:name="_Toc6210"/>
      <w:bookmarkStart w:id="184" w:name="_Toc27605"/>
      <w:bookmarkStart w:id="185" w:name="_Toc10217"/>
      <w:bookmarkStart w:id="186" w:name="_Toc38"/>
      <w:bookmarkStart w:id="187" w:name="_Toc7291"/>
      <w:bookmarkStart w:id="188" w:name="_Toc38157368"/>
      <w:bookmarkStart w:id="189" w:name="_Toc419906049"/>
      <w:bookmarkStart w:id="190" w:name="_Toc19365"/>
      <w:r>
        <w:rPr>
          <w:rFonts w:hint="default" w:ascii="Times New Roman" w:hAnsi="Times New Roman" w:cs="Times New Roman"/>
          <w:b/>
          <w:bCs/>
          <w:color w:val="auto"/>
          <w:highlight w:val="none"/>
        </w:rPr>
        <w:t>5.1</w:t>
      </w:r>
      <w:r>
        <w:rPr>
          <w:rFonts w:hint="default" w:ascii="Times New Roman" w:hAnsi="Times New Roman" w:cs="Times New Roman"/>
          <w:color w:val="auto"/>
          <w:highlight w:val="none"/>
        </w:rPr>
        <w:t xml:space="preserve"> 技术参数</w:t>
      </w:r>
      <w:bookmarkEnd w:id="182"/>
      <w:bookmarkEnd w:id="183"/>
      <w:bookmarkEnd w:id="184"/>
      <w:bookmarkEnd w:id="185"/>
      <w:bookmarkEnd w:id="186"/>
      <w:bookmarkEnd w:id="187"/>
      <w:bookmarkEnd w:id="188"/>
      <w:bookmarkEnd w:id="189"/>
      <w:bookmarkEnd w:id="190"/>
    </w:p>
    <w:p>
      <w:pPr>
        <w:pStyle w:val="36"/>
        <w:spacing w:line="360" w:lineRule="auto"/>
        <w:ind w:firstLine="420" w:firstLineChars="200"/>
        <w:outlineLvl w:val="9"/>
        <w:rPr>
          <w:rFonts w:hint="default" w:ascii="Times New Roman" w:hAnsi="Times New Roman" w:eastAsia="宋体" w:cs="Times New Roman"/>
          <w:color w:val="auto"/>
          <w:highlight w:val="none"/>
        </w:rPr>
      </w:pPr>
      <w:bookmarkStart w:id="191" w:name="_Toc419906050"/>
      <w:r>
        <w:rPr>
          <w:rFonts w:hint="default" w:ascii="Times New Roman" w:hAnsi="Times New Roman" w:eastAsia="宋体" w:cs="Times New Roman"/>
          <w:color w:val="auto"/>
          <w:highlight w:val="none"/>
        </w:rPr>
        <w:t>见技术规范书专用部分的技术参数表。</w:t>
      </w:r>
      <w:bookmarkEnd w:id="191"/>
    </w:p>
    <w:p>
      <w:pPr>
        <w:pStyle w:val="25"/>
        <w:rPr>
          <w:rFonts w:hint="default" w:ascii="Times New Roman" w:hAnsi="Times New Roman" w:cs="Times New Roman"/>
          <w:color w:val="auto"/>
          <w:highlight w:val="none"/>
        </w:rPr>
      </w:pPr>
      <w:bookmarkStart w:id="192" w:name="_Toc21255"/>
      <w:bookmarkStart w:id="193" w:name="_Toc16467"/>
      <w:bookmarkStart w:id="194" w:name="_Toc31764"/>
      <w:bookmarkStart w:id="195" w:name="_Toc5588"/>
      <w:bookmarkStart w:id="196" w:name="_Toc38157369"/>
      <w:bookmarkStart w:id="197" w:name="_Toc26301"/>
      <w:bookmarkStart w:id="198" w:name="_Toc16053"/>
      <w:bookmarkStart w:id="199" w:name="_Toc419906051"/>
      <w:bookmarkStart w:id="200" w:name="_Toc10582"/>
      <w:r>
        <w:rPr>
          <w:rFonts w:hint="default" w:ascii="Times New Roman" w:hAnsi="Times New Roman" w:cs="Times New Roman"/>
          <w:b/>
          <w:bCs/>
          <w:color w:val="auto"/>
          <w:highlight w:val="none"/>
        </w:rPr>
        <w:t xml:space="preserve">5.2 </w:t>
      </w:r>
      <w:r>
        <w:rPr>
          <w:rFonts w:hint="default" w:ascii="Times New Roman" w:hAnsi="Times New Roman" w:cs="Times New Roman"/>
          <w:color w:val="auto"/>
          <w:highlight w:val="none"/>
        </w:rPr>
        <w:t>设计和结构要求</w:t>
      </w:r>
      <w:bookmarkEnd w:id="192"/>
      <w:bookmarkEnd w:id="193"/>
      <w:bookmarkEnd w:id="194"/>
      <w:bookmarkEnd w:id="195"/>
      <w:bookmarkEnd w:id="196"/>
      <w:bookmarkEnd w:id="197"/>
      <w:bookmarkEnd w:id="198"/>
      <w:bookmarkEnd w:id="199"/>
      <w:bookmarkEnd w:id="200"/>
    </w:p>
    <w:p>
      <w:pPr>
        <w:pStyle w:val="25"/>
        <w:outlineLvl w:val="2"/>
        <w:rPr>
          <w:rFonts w:hint="default" w:ascii="Times New Roman" w:hAnsi="Times New Roman" w:cs="Times New Roman"/>
          <w:color w:val="auto"/>
          <w:highlight w:val="none"/>
        </w:rPr>
      </w:pPr>
      <w:bookmarkStart w:id="201" w:name="_Toc23214"/>
      <w:bookmarkStart w:id="202" w:name="_Toc8902"/>
      <w:bookmarkStart w:id="203" w:name="_Toc14521"/>
      <w:bookmarkStart w:id="204" w:name="_Toc11952"/>
      <w:bookmarkStart w:id="205" w:name="_Toc16759"/>
      <w:bookmarkStart w:id="206" w:name="_Toc4173"/>
      <w:bookmarkStart w:id="207" w:name="_Toc31474"/>
      <w:r>
        <w:rPr>
          <w:rFonts w:hint="default" w:ascii="Times New Roman" w:hAnsi="Times New Roman" w:cs="Times New Roman"/>
          <w:b/>
          <w:bCs/>
          <w:color w:val="auto"/>
          <w:highlight w:val="none"/>
        </w:rPr>
        <w:t>5.2.1</w:t>
      </w:r>
      <w:r>
        <w:rPr>
          <w:rFonts w:hint="default" w:ascii="Times New Roman" w:hAnsi="Times New Roman" w:cs="Times New Roman"/>
          <w:color w:val="auto"/>
          <w:highlight w:val="none"/>
        </w:rPr>
        <w:t xml:space="preserve"> </w:t>
      </w:r>
      <w:r>
        <w:rPr>
          <w:rFonts w:hint="default" w:ascii="Times New Roman" w:hAnsi="Times New Roman" w:eastAsia="黑体" w:cs="Times New Roman"/>
          <w:bCs/>
          <w:color w:val="auto"/>
          <w:highlight w:val="none"/>
        </w:rPr>
        <w:t>一般要求</w:t>
      </w:r>
      <w:bookmarkEnd w:id="201"/>
      <w:bookmarkEnd w:id="202"/>
      <w:bookmarkEnd w:id="203"/>
      <w:bookmarkEnd w:id="204"/>
      <w:bookmarkEnd w:id="205"/>
      <w:bookmarkEnd w:id="206"/>
      <w:bookmarkEnd w:id="207"/>
    </w:p>
    <w:p>
      <w:pPr>
        <w:pStyle w:val="25"/>
        <w:outlineLvl w:val="3"/>
        <w:rPr>
          <w:rFonts w:hint="default" w:ascii="Times New Roman" w:hAnsi="Times New Roman" w:eastAsia="宋体" w:cs="Times New Roman"/>
          <w:color w:val="auto"/>
          <w:highlight w:val="none"/>
        </w:rPr>
      </w:pPr>
      <w:bookmarkStart w:id="208" w:name="_Toc100"/>
      <w:bookmarkStart w:id="209" w:name="_Toc28902"/>
      <w:bookmarkStart w:id="210" w:name="_Toc28361"/>
      <w:bookmarkStart w:id="211" w:name="_Toc26515"/>
      <w:bookmarkStart w:id="212" w:name="_Toc25868"/>
      <w:bookmarkStart w:id="213" w:name="_Toc3076"/>
      <w:bookmarkStart w:id="214" w:name="_Toc10879"/>
      <w:r>
        <w:rPr>
          <w:rFonts w:hint="default" w:ascii="Times New Roman" w:hAnsi="Times New Roman" w:cs="Times New Roman"/>
          <w:b/>
          <w:bCs/>
          <w:color w:val="auto"/>
          <w:highlight w:val="none"/>
        </w:rPr>
        <w:t xml:space="preserve">5.2.1.1 </w:t>
      </w:r>
      <w:r>
        <w:rPr>
          <w:rFonts w:hint="default" w:ascii="Times New Roman" w:hAnsi="Times New Roman" w:eastAsia="黑体" w:cs="Times New Roman"/>
          <w:bCs/>
          <w:color w:val="auto"/>
          <w:highlight w:val="none"/>
        </w:rPr>
        <w:t>产品型号命名</w:t>
      </w:r>
      <w:bookmarkEnd w:id="208"/>
      <w:bookmarkEnd w:id="209"/>
      <w:bookmarkEnd w:id="210"/>
      <w:bookmarkEnd w:id="211"/>
      <w:bookmarkEnd w:id="212"/>
      <w:bookmarkEnd w:id="213"/>
      <w:bookmarkEnd w:id="214"/>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产品型号应符合JB/T 3837的规定。</w:t>
      </w:r>
    </w:p>
    <w:p>
      <w:pPr>
        <w:pStyle w:val="25"/>
        <w:outlineLvl w:val="3"/>
        <w:rPr>
          <w:rFonts w:hint="default" w:ascii="Times New Roman" w:hAnsi="Times New Roman" w:eastAsia="宋体" w:cs="Times New Roman"/>
          <w:b/>
          <w:color w:val="auto"/>
          <w:highlight w:val="none"/>
        </w:rPr>
      </w:pPr>
      <w:bookmarkStart w:id="215" w:name="_Toc2604"/>
      <w:bookmarkStart w:id="216" w:name="_Toc32243"/>
      <w:bookmarkStart w:id="217" w:name="_Toc13627"/>
      <w:bookmarkStart w:id="218" w:name="_Toc20524"/>
      <w:bookmarkStart w:id="219" w:name="_Toc5498"/>
      <w:bookmarkStart w:id="220" w:name="_Toc16730"/>
      <w:bookmarkStart w:id="221" w:name="_Toc13115"/>
      <w:r>
        <w:rPr>
          <w:rFonts w:hint="default" w:ascii="Times New Roman" w:hAnsi="Times New Roman" w:cs="Times New Roman"/>
          <w:b/>
          <w:bCs/>
          <w:color w:val="auto"/>
          <w:highlight w:val="none"/>
        </w:rPr>
        <w:t>5.2.1.2</w:t>
      </w:r>
      <w:r>
        <w:rPr>
          <w:rFonts w:hint="default" w:ascii="Times New Roman" w:hAnsi="Times New Roman" w:eastAsia="宋体" w:cs="Times New Roman"/>
          <w:color w:val="auto"/>
          <w:highlight w:val="none"/>
        </w:rPr>
        <w:t xml:space="preserve"> </w:t>
      </w:r>
      <w:r>
        <w:rPr>
          <w:rFonts w:hint="default" w:ascii="Times New Roman" w:hAnsi="Times New Roman" w:eastAsia="黑体" w:cs="Times New Roman"/>
          <w:bCs/>
          <w:color w:val="auto"/>
          <w:highlight w:val="none"/>
        </w:rPr>
        <w:t>变压器的联结组标号</w:t>
      </w:r>
      <w:bookmarkEnd w:id="215"/>
      <w:bookmarkEnd w:id="216"/>
      <w:bookmarkEnd w:id="217"/>
      <w:bookmarkEnd w:id="218"/>
      <w:bookmarkEnd w:id="219"/>
      <w:bookmarkEnd w:id="220"/>
      <w:bookmarkEnd w:id="221"/>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三相配电变压器的联结组标号应采用Dyn11。</w:t>
      </w:r>
    </w:p>
    <w:p>
      <w:pPr>
        <w:pStyle w:val="25"/>
        <w:outlineLvl w:val="3"/>
        <w:rPr>
          <w:rFonts w:hint="default" w:ascii="Times New Roman" w:hAnsi="Times New Roman" w:cs="Times New Roman"/>
          <w:color w:val="auto"/>
          <w:highlight w:val="none"/>
        </w:rPr>
      </w:pPr>
      <w:bookmarkStart w:id="222" w:name="_Toc32739"/>
      <w:bookmarkStart w:id="223" w:name="_Toc3468"/>
      <w:bookmarkStart w:id="224" w:name="_Toc12769"/>
      <w:bookmarkStart w:id="225" w:name="_Toc20047"/>
      <w:bookmarkStart w:id="226" w:name="_Toc1195"/>
      <w:bookmarkStart w:id="227" w:name="_Toc2878"/>
      <w:bookmarkStart w:id="228" w:name="_Toc10476"/>
      <w:r>
        <w:rPr>
          <w:rFonts w:hint="default" w:ascii="Times New Roman" w:hAnsi="Times New Roman" w:cs="Times New Roman"/>
          <w:b/>
          <w:bCs/>
          <w:color w:val="auto"/>
          <w:highlight w:val="none"/>
        </w:rPr>
        <w:t>5.2.1.</w:t>
      </w:r>
      <w:r>
        <w:rPr>
          <w:rFonts w:hint="default" w:ascii="Times New Roman" w:hAnsi="Times New Roman" w:cs="Times New Roman"/>
          <w:b/>
          <w:bCs/>
          <w:color w:val="auto"/>
          <w:highlight w:val="none"/>
          <w:lang w:val="en-US" w:eastAsia="zh-CN"/>
        </w:rPr>
        <w:t>3</w:t>
      </w:r>
      <w:r>
        <w:rPr>
          <w:rFonts w:hint="default" w:ascii="Times New Roman" w:hAnsi="Times New Roman" w:cs="Times New Roman"/>
          <w:color w:val="auto"/>
          <w:highlight w:val="none"/>
        </w:rPr>
        <w:t xml:space="preserve"> </w:t>
      </w:r>
      <w:r>
        <w:rPr>
          <w:rFonts w:hint="default" w:ascii="Times New Roman" w:hAnsi="Times New Roman" w:eastAsia="黑体" w:cs="Times New Roman"/>
          <w:bCs/>
          <w:color w:val="auto"/>
          <w:highlight w:val="none"/>
        </w:rPr>
        <w:t>接线端子</w:t>
      </w:r>
      <w:bookmarkEnd w:id="222"/>
      <w:bookmarkEnd w:id="223"/>
      <w:bookmarkEnd w:id="224"/>
      <w:bookmarkEnd w:id="225"/>
      <w:bookmarkEnd w:id="226"/>
      <w:bookmarkEnd w:id="227"/>
      <w:bookmarkEnd w:id="228"/>
    </w:p>
    <w:p>
      <w:pPr>
        <w:pStyle w:val="29"/>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变压器分接引线需包封绝缘护套或涂绝缘漆，确保在使用寿命内不发生开裂、剥脱等，应满足以下要求：</w:t>
      </w:r>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1）变压器高压侧和低压侧引线的接线端子，应用铜材制成，其接触表面应镀锡、应洁净，不得有裂纹、明显伤痕、毛刺，腐蚀斑痕缺陷及其他影响电接触和机械强度的缺陷，且应有防松措施。其余应符合GB</w:t>
      </w:r>
      <w:r>
        <w:rPr>
          <w:rFonts w:hint="default" w:ascii="Times New Roman" w:hAnsi="Times New Roman" w:eastAsia="宋体" w:cs="Times New Roman"/>
          <w:color w:val="auto"/>
          <w:highlight w:val="none"/>
          <w:lang w:val="en-US" w:eastAsia="zh-CN"/>
        </w:rPr>
        <w:t>/T</w:t>
      </w:r>
      <w:r>
        <w:rPr>
          <w:rFonts w:hint="default" w:ascii="Times New Roman" w:hAnsi="Times New Roman" w:eastAsia="宋体" w:cs="Times New Roman"/>
          <w:color w:val="auto"/>
          <w:highlight w:val="none"/>
        </w:rPr>
        <w:t xml:space="preserve"> 5273的规定。</w:t>
      </w:r>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2）接线端子应采用铜排制作。</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3）变压器低压侧采用电缆、铜排接口方式。</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4）变压器低压侧应当有方便运行人员装设接地线时使用的专用引出端子，参照11.1.2 安装尺寸的图11.</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w:t>
      </w:r>
    </w:p>
    <w:p>
      <w:pPr>
        <w:pStyle w:val="25"/>
        <w:spacing w:line="360" w:lineRule="auto"/>
        <w:outlineLvl w:val="3"/>
        <w:rPr>
          <w:rFonts w:hint="default" w:ascii="Times New Roman" w:hAnsi="Times New Roman" w:cs="Times New Roman"/>
          <w:color w:val="auto"/>
          <w:highlight w:val="none"/>
        </w:rPr>
      </w:pPr>
      <w:bookmarkStart w:id="229" w:name="_Toc1302"/>
      <w:bookmarkStart w:id="230" w:name="_Toc20207"/>
      <w:bookmarkStart w:id="231" w:name="_Toc2668"/>
      <w:bookmarkStart w:id="232" w:name="_Toc24348"/>
      <w:bookmarkStart w:id="233" w:name="_Toc8042"/>
      <w:bookmarkStart w:id="234" w:name="_Toc17811"/>
      <w:bookmarkStart w:id="235" w:name="_Toc31732"/>
      <w:r>
        <w:rPr>
          <w:rFonts w:hint="default" w:ascii="Times New Roman" w:hAnsi="Times New Roman" w:cs="Times New Roman"/>
          <w:b/>
          <w:bCs/>
          <w:color w:val="auto"/>
          <w:highlight w:val="none"/>
        </w:rPr>
        <w:t>5.2.1.</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 xml:space="preserve"> </w:t>
      </w:r>
      <w:r>
        <w:rPr>
          <w:rFonts w:hint="default" w:ascii="Times New Roman" w:hAnsi="Times New Roman" w:eastAsia="黑体" w:cs="Times New Roman"/>
          <w:bCs/>
          <w:color w:val="auto"/>
          <w:highlight w:val="none"/>
        </w:rPr>
        <w:t>铭牌</w:t>
      </w:r>
      <w:bookmarkEnd w:id="229"/>
      <w:bookmarkEnd w:id="230"/>
      <w:bookmarkEnd w:id="231"/>
      <w:bookmarkEnd w:id="232"/>
      <w:bookmarkEnd w:id="233"/>
      <w:bookmarkEnd w:id="234"/>
      <w:bookmarkEnd w:id="235"/>
    </w:p>
    <w:p>
      <w:pPr>
        <w:pStyle w:val="36"/>
        <w:spacing w:line="360" w:lineRule="auto"/>
        <w:jc w:val="left"/>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5.2.1.</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 xml:space="preserve">.1 </w:t>
      </w:r>
      <w:r>
        <w:rPr>
          <w:rFonts w:hint="default" w:ascii="Times New Roman" w:hAnsi="Times New Roman" w:eastAsia="宋体" w:cs="Times New Roman"/>
          <w:color w:val="auto"/>
          <w:highlight w:val="none"/>
        </w:rPr>
        <w:t>固定于变压器及外壳（若有）上的铭牌应采用亚光不锈钢材料制作，耐腐蚀，铭牌上所标志的项目内容应清晰且安装牢固。</w:t>
      </w:r>
    </w:p>
    <w:p>
      <w:pPr>
        <w:pStyle w:val="36"/>
        <w:spacing w:line="360" w:lineRule="auto"/>
        <w:jc w:val="left"/>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5.2.1.</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 xml:space="preserve">.2 </w:t>
      </w:r>
      <w:r>
        <w:rPr>
          <w:rFonts w:hint="default" w:ascii="Times New Roman" w:hAnsi="Times New Roman" w:eastAsia="宋体" w:cs="Times New Roman"/>
          <w:color w:val="auto"/>
          <w:highlight w:val="none"/>
        </w:rPr>
        <w:t>在铭牌上必须标志的项目应符合GB</w:t>
      </w:r>
      <w:r>
        <w:rPr>
          <w:rFonts w:hint="default" w:ascii="Times New Roman" w:hAnsi="Times New Roman" w:eastAsia="宋体" w:cs="Times New Roman"/>
          <w:color w:val="auto"/>
          <w:highlight w:val="none"/>
          <w:lang w:val="en-US" w:eastAsia="zh-CN"/>
        </w:rPr>
        <w:t>/T</w:t>
      </w:r>
      <w:r>
        <w:rPr>
          <w:rFonts w:hint="default" w:ascii="Times New Roman" w:hAnsi="Times New Roman" w:eastAsia="宋体" w:cs="Times New Roman"/>
          <w:color w:val="auto"/>
          <w:highlight w:val="none"/>
        </w:rPr>
        <w:t xml:space="preserve"> 1094.11的规定外，还应增加空载损耗、负载损耗以及空载电流的实测值。所标志项目的布置排版见附图1所示。</w:t>
      </w:r>
    </w:p>
    <w:p>
      <w:pPr>
        <w:pStyle w:val="36"/>
        <w:spacing w:line="360" w:lineRule="auto"/>
        <w:jc w:val="left"/>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5.2.1.</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.3</w:t>
      </w:r>
      <w:r>
        <w:rPr>
          <w:rFonts w:hint="default" w:ascii="Times New Roman" w:hAnsi="Times New Roman" w:eastAsia="黑体" w:cs="Times New Roman"/>
          <w:bCs/>
          <w:color w:val="auto"/>
          <w:highlight w:val="none"/>
        </w:rPr>
        <w:t>其它要求</w:t>
      </w:r>
      <w:r>
        <w:rPr>
          <w:rFonts w:hint="default" w:ascii="Times New Roman" w:hAnsi="Times New Roman" w:eastAsia="宋体" w:cs="Times New Roman"/>
          <w:color w:val="auto"/>
          <w:highlight w:val="none"/>
        </w:rPr>
        <w:t xml:space="preserve"> </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1）外形尺寸2</w:t>
      </w:r>
      <w:r>
        <w:rPr>
          <w:rFonts w:hint="default" w:ascii="Times New Roman" w:hAnsi="Times New Roman" w:cs="Times New Roman"/>
          <w:color w:val="auto"/>
          <w:highlight w:val="none"/>
          <w:lang w:eastAsia="zh-CN"/>
        </w:rPr>
        <w:t>5</w:t>
      </w:r>
      <w:r>
        <w:rPr>
          <w:rFonts w:hint="default" w:ascii="Times New Roman" w:hAnsi="Times New Roman" w:cs="Times New Roman"/>
          <w:color w:val="auto"/>
          <w:highlight w:val="none"/>
        </w:rPr>
        <w:t>0*1</w:t>
      </w:r>
      <w:r>
        <w:rPr>
          <w:rFonts w:hint="default" w:ascii="Times New Roman" w:hAnsi="Times New Roman" w:cs="Times New Roman"/>
          <w:color w:val="auto"/>
          <w:highlight w:val="none"/>
          <w:lang w:eastAsia="zh-CN"/>
        </w:rPr>
        <w:t>3</w:t>
      </w:r>
      <w:r>
        <w:rPr>
          <w:rFonts w:hint="default" w:ascii="Times New Roman" w:hAnsi="Times New Roman" w:cs="Times New Roman"/>
          <w:color w:val="auto"/>
          <w:highlight w:val="none"/>
        </w:rPr>
        <w:t>0mm，</w:t>
      </w:r>
      <w:r>
        <w:rPr>
          <w:rFonts w:hint="default" w:ascii="Times New Roman" w:hAnsi="Times New Roman" w:cs="Times New Roman"/>
          <w:color w:val="auto"/>
          <w:sz w:val="21"/>
          <w:szCs w:val="20"/>
          <w:highlight w:val="none"/>
        </w:rPr>
        <w:t>其中二维码尺寸为</w:t>
      </w:r>
      <w:r>
        <w:rPr>
          <w:rFonts w:hint="default" w:ascii="Times New Roman" w:hAnsi="Times New Roman" w:cs="Times New Roman"/>
          <w:color w:val="auto"/>
          <w:sz w:val="21"/>
          <w:szCs w:val="20"/>
          <w:highlight w:val="none"/>
          <w:lang w:eastAsia="zh-CN"/>
        </w:rPr>
        <w:t>8</w:t>
      </w:r>
      <w:r>
        <w:rPr>
          <w:rFonts w:hint="default" w:ascii="Times New Roman" w:hAnsi="Times New Roman" w:cs="Times New Roman"/>
          <w:color w:val="auto"/>
          <w:sz w:val="21"/>
          <w:szCs w:val="20"/>
          <w:highlight w:val="none"/>
          <w:lang w:val="en-US" w:eastAsia="zh-CN"/>
        </w:rPr>
        <w:t>0</w:t>
      </w:r>
      <w:r>
        <w:rPr>
          <w:rFonts w:hint="default" w:ascii="Times New Roman" w:hAnsi="Times New Roman" w:cs="Times New Roman"/>
          <w:color w:val="auto"/>
          <w:sz w:val="21"/>
          <w:szCs w:val="20"/>
          <w:highlight w:val="none"/>
        </w:rPr>
        <w:t>*</w:t>
      </w:r>
      <w:r>
        <w:rPr>
          <w:rFonts w:hint="default" w:ascii="Times New Roman" w:hAnsi="Times New Roman" w:cs="Times New Roman"/>
          <w:color w:val="auto"/>
          <w:sz w:val="21"/>
          <w:szCs w:val="20"/>
          <w:highlight w:val="none"/>
          <w:lang w:eastAsia="zh-CN"/>
        </w:rPr>
        <w:t>8</w:t>
      </w:r>
      <w:r>
        <w:rPr>
          <w:rFonts w:hint="default" w:ascii="Times New Roman" w:hAnsi="Times New Roman" w:cs="Times New Roman"/>
          <w:color w:val="auto"/>
          <w:sz w:val="21"/>
          <w:szCs w:val="20"/>
          <w:highlight w:val="none"/>
          <w:lang w:val="en-US" w:eastAsia="zh-CN"/>
        </w:rPr>
        <w:t>0</w:t>
      </w:r>
      <w:r>
        <w:rPr>
          <w:rFonts w:hint="default" w:ascii="Times New Roman" w:hAnsi="Times New Roman" w:cs="Times New Roman"/>
          <w:color w:val="auto"/>
          <w:sz w:val="21"/>
          <w:szCs w:val="20"/>
          <w:highlight w:val="none"/>
        </w:rPr>
        <w:t>mm</w:t>
      </w:r>
      <w:r>
        <w:rPr>
          <w:rFonts w:hint="default" w:ascii="Times New Roman" w:hAnsi="Times New Roman" w:cs="Times New Roman"/>
          <w:color w:val="auto"/>
          <w:sz w:val="21"/>
          <w:szCs w:val="20"/>
          <w:highlight w:val="none"/>
          <w:lang w:eastAsia="zh-CN"/>
        </w:rPr>
        <w:t>，</w:t>
      </w:r>
      <w:r>
        <w:rPr>
          <w:rFonts w:hint="default" w:ascii="Times New Roman" w:hAnsi="Times New Roman" w:cs="Times New Roman"/>
          <w:color w:val="auto"/>
          <w:highlight w:val="none"/>
        </w:rPr>
        <w:t>厚度</w:t>
      </w:r>
      <w:r>
        <w:rPr>
          <w:rFonts w:hint="default" w:ascii="Times New Roman" w:hAnsi="Times New Roman" w:cs="Times New Roman"/>
          <w:color w:val="auto"/>
          <w:highlight w:val="none"/>
          <w:lang w:eastAsia="zh-CN"/>
        </w:rPr>
        <w:t>为</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1.2±0.2</w:t>
      </w:r>
      <w:r>
        <w:rPr>
          <w:rFonts w:hint="default" w:ascii="Times New Roman" w:hAnsi="Times New Roman" w:eastAsia="宋体" w:cs="Times New Roman"/>
          <w:color w:val="auto"/>
          <w:highlight w:val="none"/>
          <w:lang w:eastAsia="zh-CN"/>
        </w:rPr>
        <w:t>）</w:t>
      </w:r>
      <w:r>
        <w:rPr>
          <w:rFonts w:hint="default" w:ascii="Times New Roman" w:hAnsi="Times New Roman" w:cs="Times New Roman"/>
          <w:color w:val="auto"/>
          <w:highlight w:val="none"/>
        </w:rPr>
        <w:t>mm；</w:t>
      </w:r>
    </w:p>
    <w:p>
      <w:pPr>
        <w:pStyle w:val="29"/>
        <w:spacing w:line="360" w:lineRule="auto"/>
        <w:ind w:firstLine="420"/>
        <w:rPr>
          <w:rFonts w:hint="default" w:ascii="Times New Roman" w:hAnsi="Times New Roman" w:eastAsia="宋体" w:cs="Times New Roman"/>
          <w:color w:val="auto"/>
          <w:highlight w:val="none"/>
          <w:lang w:eastAsia="zh-CN"/>
        </w:rPr>
      </w:pPr>
      <w:r>
        <w:rPr>
          <w:rFonts w:hint="default" w:ascii="Times New Roman" w:hAnsi="Times New Roman" w:cs="Times New Roman"/>
          <w:color w:val="auto"/>
          <w:highlight w:val="none"/>
        </w:rPr>
        <w:t>2）固定位置：带外壳产品安装在面向低压侧正面靠左；不带外壳产品安装在低压侧上夹件靠左</w:t>
      </w:r>
      <w:r>
        <w:rPr>
          <w:rFonts w:hint="default" w:ascii="Times New Roman" w:hAnsi="Times New Roman" w:cs="Times New Roman"/>
          <w:color w:val="auto"/>
          <w:highlight w:val="none"/>
          <w:lang w:eastAsia="zh-CN"/>
        </w:rPr>
        <w:t>；</w:t>
      </w:r>
    </w:p>
    <w:p>
      <w:pPr>
        <w:pStyle w:val="29"/>
        <w:spacing w:line="240" w:lineRule="auto"/>
        <w:ind w:firstLine="0"/>
        <w:rPr>
          <w:rFonts w:hint="default" w:ascii="Times New Roman" w:hAnsi="Times New Roman" w:cs="Times New Roman"/>
          <w:color w:val="auto"/>
          <w:highlight w:val="none"/>
        </w:rPr>
      </w:pPr>
      <w:r>
        <w:rPr>
          <w:rFonts w:hint="default" w:ascii="Times New Roman" w:hAnsi="Times New Roman" w:eastAsia="宋体" w:cs="Times New Roman"/>
          <w:color w:val="auto"/>
          <w:highlight w:val="none"/>
          <w:lang w:val="en-US" w:eastAsia="zh-CN"/>
        </w:rPr>
        <w:t>3）在铭牌上激光打印二维码。</w:t>
      </w:r>
    </w:p>
    <w:p>
      <w:pPr>
        <w:pStyle w:val="25"/>
        <w:outlineLvl w:val="3"/>
        <w:rPr>
          <w:rFonts w:hint="default" w:ascii="Times New Roman" w:hAnsi="Times New Roman" w:eastAsia="宋体" w:cs="Times New Roman"/>
          <w:b/>
          <w:color w:val="auto"/>
          <w:highlight w:val="none"/>
        </w:rPr>
      </w:pPr>
      <w:bookmarkStart w:id="236" w:name="_Toc16056"/>
      <w:bookmarkStart w:id="237" w:name="_Toc3410"/>
      <w:bookmarkStart w:id="238" w:name="_Toc7942"/>
      <w:bookmarkStart w:id="239" w:name="_Toc5883"/>
      <w:bookmarkStart w:id="240" w:name="_Toc22803"/>
      <w:bookmarkStart w:id="241" w:name="_Toc30196"/>
      <w:bookmarkStart w:id="242" w:name="_Toc32172"/>
      <w:r>
        <w:rPr>
          <w:rFonts w:hint="default" w:ascii="Times New Roman" w:hAnsi="Times New Roman" w:eastAsia="宋体" w:cs="Times New Roman"/>
          <w:b/>
          <w:bCs/>
          <w:color w:val="auto"/>
          <w:highlight w:val="none"/>
        </w:rPr>
        <w:t>5.2.1.</w:t>
      </w:r>
      <w:r>
        <w:rPr>
          <w:rFonts w:hint="default" w:ascii="Times New Roman" w:hAnsi="Times New Roman" w:eastAsia="宋体" w:cs="Times New Roman"/>
          <w:b/>
          <w:bCs/>
          <w:color w:val="auto"/>
          <w:highlight w:val="none"/>
          <w:lang w:val="en-US" w:eastAsia="zh-CN"/>
        </w:rPr>
        <w:t>5</w:t>
      </w:r>
      <w:r>
        <w:rPr>
          <w:rFonts w:hint="default" w:ascii="Times New Roman" w:hAnsi="Times New Roman" w:eastAsia="宋体" w:cs="Times New Roman"/>
          <w:color w:val="auto"/>
          <w:highlight w:val="none"/>
        </w:rPr>
        <w:t xml:space="preserve"> </w:t>
      </w:r>
      <w:r>
        <w:rPr>
          <w:rFonts w:hint="default" w:ascii="Times New Roman" w:hAnsi="Times New Roman" w:eastAsia="黑体" w:cs="Times New Roman"/>
          <w:bCs/>
          <w:color w:val="auto"/>
          <w:highlight w:val="none"/>
        </w:rPr>
        <w:t>冷却方式</w:t>
      </w:r>
      <w:bookmarkEnd w:id="236"/>
      <w:bookmarkEnd w:id="237"/>
      <w:bookmarkEnd w:id="238"/>
      <w:bookmarkEnd w:id="239"/>
      <w:bookmarkEnd w:id="240"/>
      <w:bookmarkEnd w:id="241"/>
      <w:bookmarkEnd w:id="242"/>
    </w:p>
    <w:p>
      <w:pPr>
        <w:pStyle w:val="29"/>
        <w:spacing w:line="360" w:lineRule="auto"/>
        <w:ind w:firstLine="420"/>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1</w:t>
      </w:r>
      <w:r>
        <w:rPr>
          <w:rFonts w:hint="default" w:ascii="Times New Roman" w:hAnsi="Times New Roman" w:cs="Times New Roman"/>
          <w:color w:val="auto"/>
          <w:highlight w:val="none"/>
          <w:lang w:eastAsia="zh-CN"/>
        </w:rPr>
        <w:t>）冷却方式：</w:t>
      </w:r>
      <w:r>
        <w:rPr>
          <w:rFonts w:hint="default" w:ascii="Times New Roman" w:hAnsi="Times New Roman" w:cs="Times New Roman"/>
          <w:color w:val="auto"/>
          <w:highlight w:val="none"/>
          <w:lang w:val="en-US" w:eastAsia="zh-CN"/>
        </w:rPr>
        <w:t>A</w:t>
      </w:r>
      <w:r>
        <w:rPr>
          <w:rFonts w:hint="eastAsia" w:ascii="Times New Roman" w:cs="Times New Roman"/>
          <w:color w:val="auto"/>
          <w:highlight w:val="none"/>
          <w:lang w:val="en-US" w:eastAsia="zh-CN"/>
        </w:rPr>
        <w:t>F。</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w:t>
      </w:r>
      <w:r>
        <w:rPr>
          <w:rFonts w:hint="eastAsia" w:ascii="Times New Roman" w:cs="Times New Roman"/>
          <w:color w:val="auto"/>
          <w:highlight w:val="none"/>
          <w:lang w:val="en-US" w:eastAsia="zh-CN"/>
        </w:rPr>
        <w:t>）</w:t>
      </w:r>
      <w:r>
        <w:rPr>
          <w:rFonts w:hint="default" w:ascii="Times New Roman" w:hAnsi="Times New Roman" w:cs="Times New Roman"/>
          <w:color w:val="auto"/>
          <w:highlight w:val="none"/>
        </w:rPr>
        <w:t>冷却方式的标志按GB 1094.11要求。</w:t>
      </w:r>
    </w:p>
    <w:p>
      <w:pPr>
        <w:pStyle w:val="25"/>
        <w:outlineLvl w:val="2"/>
        <w:rPr>
          <w:rFonts w:hint="default" w:ascii="Times New Roman" w:hAnsi="Times New Roman" w:eastAsia="宋体" w:cs="Times New Roman"/>
          <w:color w:val="auto"/>
          <w:highlight w:val="none"/>
        </w:rPr>
      </w:pPr>
      <w:bookmarkStart w:id="243" w:name="_Toc12812"/>
      <w:bookmarkStart w:id="244" w:name="_Toc27337"/>
      <w:bookmarkStart w:id="245" w:name="_Toc1056"/>
      <w:bookmarkStart w:id="246" w:name="_Toc16701"/>
      <w:bookmarkStart w:id="247" w:name="_Toc21921"/>
      <w:bookmarkStart w:id="248" w:name="_Toc13530"/>
      <w:bookmarkStart w:id="249" w:name="_Toc13636"/>
      <w:r>
        <w:rPr>
          <w:rFonts w:hint="default" w:ascii="Times New Roman" w:hAnsi="Times New Roman" w:cs="Times New Roman"/>
          <w:b/>
          <w:bCs/>
          <w:color w:val="auto"/>
          <w:highlight w:val="none"/>
        </w:rPr>
        <w:t xml:space="preserve">5.2.2 </w:t>
      </w:r>
      <w:r>
        <w:rPr>
          <w:rFonts w:hint="default" w:ascii="Times New Roman" w:hAnsi="Times New Roman" w:eastAsia="黑体" w:cs="Times New Roman"/>
          <w:bCs/>
          <w:color w:val="auto"/>
          <w:highlight w:val="none"/>
        </w:rPr>
        <w:t>干式配电变压器技术要求</w:t>
      </w:r>
      <w:bookmarkEnd w:id="243"/>
      <w:bookmarkEnd w:id="244"/>
      <w:bookmarkEnd w:id="245"/>
      <w:bookmarkEnd w:id="246"/>
      <w:bookmarkEnd w:id="247"/>
      <w:bookmarkEnd w:id="248"/>
      <w:bookmarkEnd w:id="249"/>
    </w:p>
    <w:p>
      <w:pPr>
        <w:pStyle w:val="25"/>
        <w:spacing w:line="360" w:lineRule="auto"/>
        <w:outlineLvl w:val="3"/>
        <w:rPr>
          <w:rFonts w:hint="default" w:ascii="Times New Roman" w:hAnsi="Times New Roman" w:eastAsia="宋体" w:cs="Times New Roman"/>
          <w:b w:val="0"/>
          <w:color w:val="auto"/>
          <w:highlight w:val="none"/>
        </w:rPr>
      </w:pPr>
      <w:bookmarkStart w:id="250" w:name="_Toc24909"/>
      <w:bookmarkStart w:id="251" w:name="_Toc30285"/>
      <w:bookmarkStart w:id="252" w:name="_Toc15827"/>
      <w:bookmarkStart w:id="253" w:name="_Toc5460"/>
      <w:bookmarkStart w:id="254" w:name="_Toc15268"/>
      <w:bookmarkStart w:id="255" w:name="_Toc18802"/>
      <w:bookmarkStart w:id="256" w:name="_Toc25987"/>
      <w:r>
        <w:rPr>
          <w:rFonts w:hint="default" w:ascii="Times New Roman" w:hAnsi="Times New Roman" w:eastAsia="黑体" w:cs="Times New Roman"/>
          <w:b/>
          <w:bCs/>
          <w:color w:val="auto"/>
          <w:highlight w:val="none"/>
        </w:rPr>
        <w:t xml:space="preserve">5.2.2.1 </w:t>
      </w:r>
      <w:r>
        <w:rPr>
          <w:rFonts w:hint="default" w:ascii="Times New Roman" w:hAnsi="Times New Roman" w:eastAsia="黑体" w:cs="Times New Roman"/>
          <w:b w:val="0"/>
          <w:bCs/>
          <w:color w:val="auto"/>
          <w:highlight w:val="none"/>
        </w:rPr>
        <w:t>绝缘系统</w:t>
      </w:r>
      <w:bookmarkEnd w:id="250"/>
      <w:bookmarkEnd w:id="251"/>
      <w:bookmarkEnd w:id="252"/>
      <w:bookmarkEnd w:id="253"/>
      <w:bookmarkEnd w:id="254"/>
      <w:bookmarkEnd w:id="255"/>
      <w:bookmarkEnd w:id="256"/>
    </w:p>
    <w:p>
      <w:pPr>
        <w:pStyle w:val="25"/>
        <w:outlineLvl w:val="4"/>
        <w:rPr>
          <w:rFonts w:hint="default" w:ascii="Times New Roman" w:hAnsi="Times New Roman" w:cs="Times New Roman"/>
          <w:b/>
          <w:color w:val="auto"/>
          <w:highlight w:val="none"/>
        </w:rPr>
      </w:pPr>
      <w:bookmarkStart w:id="257" w:name="_Toc22787"/>
      <w:bookmarkStart w:id="258" w:name="_Toc15616"/>
      <w:bookmarkStart w:id="259" w:name="_Toc1709"/>
      <w:bookmarkStart w:id="260" w:name="_Toc6803"/>
      <w:bookmarkStart w:id="261" w:name="_Toc13538"/>
      <w:bookmarkStart w:id="262" w:name="_Toc6249"/>
      <w:bookmarkStart w:id="263" w:name="_Toc25887"/>
      <w:r>
        <w:rPr>
          <w:rFonts w:hint="default" w:ascii="Times New Roman" w:hAnsi="Times New Roman" w:cs="Times New Roman"/>
          <w:b/>
          <w:bCs/>
          <w:color w:val="auto"/>
          <w:highlight w:val="none"/>
        </w:rPr>
        <w:t>5.2.</w:t>
      </w:r>
      <w:r>
        <w:rPr>
          <w:rFonts w:hint="default" w:ascii="Times New Roman" w:hAnsi="Times New Roman" w:cs="Times New Roman"/>
          <w:b/>
          <w:bCs/>
          <w:color w:val="auto"/>
          <w:highlight w:val="none"/>
          <w:lang w:val="en-US" w:eastAsia="zh-CN"/>
        </w:rPr>
        <w:t>2</w:t>
      </w:r>
      <w:r>
        <w:rPr>
          <w:rFonts w:hint="default" w:ascii="Times New Roman" w:hAnsi="Times New Roman" w:cs="Times New Roman"/>
          <w:b/>
          <w:bCs/>
          <w:color w:val="auto"/>
          <w:highlight w:val="none"/>
        </w:rPr>
        <w:t>.</w:t>
      </w:r>
      <w:r>
        <w:rPr>
          <w:rFonts w:hint="default" w:ascii="Times New Roman" w:hAnsi="Times New Roman" w:cs="Times New Roman"/>
          <w:b/>
          <w:bCs/>
          <w:color w:val="auto"/>
          <w:highlight w:val="none"/>
          <w:lang w:val="en-US" w:eastAsia="zh-CN"/>
        </w:rPr>
        <w:t>1.1</w:t>
      </w:r>
      <w:r>
        <w:rPr>
          <w:rFonts w:hint="default" w:ascii="Times New Roman" w:hAnsi="Times New Roman" w:eastAsia="宋体" w:cs="Times New Roman"/>
          <w:color w:val="auto"/>
          <w:highlight w:val="none"/>
        </w:rPr>
        <w:t xml:space="preserve"> </w:t>
      </w:r>
      <w:r>
        <w:rPr>
          <w:rFonts w:hint="default" w:ascii="Times New Roman" w:hAnsi="Times New Roman" w:eastAsia="黑体" w:cs="Times New Roman"/>
          <w:bCs/>
          <w:color w:val="auto"/>
          <w:highlight w:val="none"/>
        </w:rPr>
        <w:t>绝缘水平</w:t>
      </w:r>
      <w:bookmarkEnd w:id="257"/>
      <w:bookmarkEnd w:id="258"/>
      <w:bookmarkEnd w:id="259"/>
      <w:bookmarkEnd w:id="260"/>
      <w:bookmarkEnd w:id="261"/>
      <w:bookmarkEnd w:id="262"/>
      <w:bookmarkEnd w:id="263"/>
    </w:p>
    <w:p>
      <w:pPr>
        <w:pStyle w:val="30"/>
        <w:spacing w:line="360" w:lineRule="auto"/>
        <w:ind w:firstLine="420" w:firstLineChars="200"/>
        <w:outlineLvl w:val="9"/>
        <w:rPr>
          <w:rFonts w:hint="default" w:ascii="Times New Roman" w:hAnsi="Times New Roman" w:eastAsia="宋体" w:cs="Times New Roman"/>
          <w:b w:val="0"/>
          <w:color w:val="auto"/>
          <w:highlight w:val="none"/>
        </w:rPr>
      </w:pPr>
      <w:r>
        <w:rPr>
          <w:rFonts w:hint="default" w:ascii="Times New Roman" w:hAnsi="Times New Roman" w:eastAsia="宋体" w:cs="Times New Roman"/>
          <w:b w:val="0"/>
          <w:color w:val="auto"/>
          <w:highlight w:val="none"/>
        </w:rPr>
        <w:t>变压器的每一绕组及中性点端子的绝缘水平和试验电压见表5.1。</w:t>
      </w:r>
    </w:p>
    <w:p>
      <w:pPr>
        <w:pStyle w:val="7"/>
        <w:keepNext/>
        <w:jc w:val="center"/>
        <w:rPr>
          <w:rFonts w:hint="default" w:ascii="Times New Roman" w:hAnsi="Times New Roman" w:cs="Times New Roman"/>
          <w:color w:val="auto"/>
          <w:sz w:val="18"/>
          <w:highlight w:val="none"/>
        </w:rPr>
      </w:pPr>
      <w:r>
        <w:rPr>
          <w:rFonts w:hint="default" w:ascii="Times New Roman" w:hAnsi="Times New Roman" w:eastAsia="黑体" w:cs="Times New Roman"/>
          <w:color w:val="auto"/>
          <w:sz w:val="18"/>
          <w:highlight w:val="none"/>
        </w:rPr>
        <w:t>表5.1  变压器绕组的绝缘水平和试验电压</w:t>
      </w:r>
    </w:p>
    <w:tbl>
      <w:tblPr>
        <w:tblStyle w:val="19"/>
        <w:tblW w:w="88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02"/>
        <w:gridCol w:w="2854"/>
        <w:gridCol w:w="2065"/>
        <w:gridCol w:w="21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7" w:hRule="atLeast"/>
          <w:jc w:val="center"/>
        </w:trPr>
        <w:tc>
          <w:tcPr>
            <w:tcW w:w="1802" w:type="dxa"/>
            <w:vMerge w:val="restart"/>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绕组电压等级</w:t>
            </w:r>
          </w:p>
          <w:p>
            <w:pPr>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kV</w:t>
            </w:r>
          </w:p>
        </w:tc>
        <w:tc>
          <w:tcPr>
            <w:tcW w:w="2854" w:type="dxa"/>
            <w:vMerge w:val="restart"/>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额定短时工频耐受电压</w:t>
            </w:r>
          </w:p>
          <w:p>
            <w:pPr>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(有效值) kV</w:t>
            </w:r>
          </w:p>
        </w:tc>
        <w:tc>
          <w:tcPr>
            <w:tcW w:w="4207" w:type="dxa"/>
            <w:gridSpan w:val="2"/>
            <w:vAlign w:val="center"/>
          </w:tcPr>
          <w:p>
            <w:pPr>
              <w:widowControl/>
              <w:autoSpaceDE w:val="0"/>
              <w:autoSpaceDN w:val="0"/>
              <w:spacing w:before="40"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额定雷电冲击耐受电压(峰值)kV</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9" w:hRule="atLeast"/>
          <w:jc w:val="center"/>
        </w:trPr>
        <w:tc>
          <w:tcPr>
            <w:tcW w:w="1802" w:type="dxa"/>
            <w:vMerge w:val="continue"/>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p>
        </w:tc>
        <w:tc>
          <w:tcPr>
            <w:tcW w:w="2854" w:type="dxa"/>
            <w:vMerge w:val="continue"/>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p>
        </w:tc>
        <w:tc>
          <w:tcPr>
            <w:tcW w:w="2065"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全波</w:t>
            </w:r>
          </w:p>
        </w:tc>
        <w:tc>
          <w:tcPr>
            <w:tcW w:w="2142"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截波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4" w:hRule="atLeast"/>
          <w:jc w:val="center"/>
        </w:trPr>
        <w:tc>
          <w:tcPr>
            <w:tcW w:w="1802"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w:t>
            </w:r>
          </w:p>
        </w:tc>
        <w:tc>
          <w:tcPr>
            <w:tcW w:w="2854"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35</w:t>
            </w:r>
          </w:p>
        </w:tc>
        <w:tc>
          <w:tcPr>
            <w:tcW w:w="2065"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75</w:t>
            </w:r>
          </w:p>
        </w:tc>
        <w:tc>
          <w:tcPr>
            <w:tcW w:w="2142"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9" w:hRule="atLeast"/>
          <w:jc w:val="center"/>
        </w:trPr>
        <w:tc>
          <w:tcPr>
            <w:tcW w:w="1802"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0.4</w:t>
            </w:r>
          </w:p>
        </w:tc>
        <w:tc>
          <w:tcPr>
            <w:tcW w:w="2854"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065"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2142" w:type="dxa"/>
            <w:vAlign w:val="center"/>
          </w:tcPr>
          <w:p>
            <w:pPr>
              <w:widowControl/>
              <w:autoSpaceDE w:val="0"/>
              <w:autoSpaceDN w:val="0"/>
              <w:spacing w:line="360" w:lineRule="auto"/>
              <w:jc w:val="center"/>
              <w:textAlignment w:val="bottom"/>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bl>
    <w:p>
      <w:pPr>
        <w:spacing w:line="360" w:lineRule="auto"/>
        <w:ind w:firstLine="0" w:firstLineChars="0"/>
        <w:outlineLvl w:val="4"/>
        <w:rPr>
          <w:rFonts w:hint="default" w:ascii="Times New Roman" w:hAnsi="Times New Roman" w:eastAsia="宋体" w:cs="Times New Roman"/>
          <w:color w:val="auto"/>
          <w:highlight w:val="none"/>
          <w:lang w:val="en-US" w:eastAsia="zh-CN"/>
        </w:rPr>
      </w:pPr>
      <w:bookmarkStart w:id="264" w:name="_Toc419906052"/>
      <w:r>
        <w:rPr>
          <w:rFonts w:hint="default" w:ascii="Times New Roman" w:hAnsi="Times New Roman" w:cs="Times New Roman"/>
          <w:b/>
          <w:bCs/>
          <w:color w:val="auto"/>
          <w:highlight w:val="none"/>
        </w:rPr>
        <w:t>5.2.</w:t>
      </w:r>
      <w:r>
        <w:rPr>
          <w:rFonts w:hint="default" w:ascii="Times New Roman" w:hAnsi="Times New Roman" w:cs="Times New Roman"/>
          <w:b/>
          <w:bCs/>
          <w:color w:val="auto"/>
          <w:highlight w:val="none"/>
          <w:lang w:val="en-US" w:eastAsia="zh-CN"/>
        </w:rPr>
        <w:t>2.1</w:t>
      </w:r>
      <w:r>
        <w:rPr>
          <w:rFonts w:hint="default" w:ascii="Times New Roman" w:hAnsi="Times New Roman" w:cs="Times New Roman"/>
          <w:b/>
          <w:bCs/>
          <w:color w:val="auto"/>
          <w:highlight w:val="none"/>
        </w:rPr>
        <w:t>.</w:t>
      </w:r>
      <w:r>
        <w:rPr>
          <w:rFonts w:hint="default" w:ascii="Times New Roman" w:hAnsi="Times New Roman" w:cs="Times New Roman"/>
          <w:b/>
          <w:bCs/>
          <w:color w:val="auto"/>
          <w:highlight w:val="none"/>
          <w:lang w:val="en-US" w:eastAsia="zh-CN"/>
        </w:rPr>
        <w:t xml:space="preserve">2 </w:t>
      </w:r>
      <w:r>
        <w:rPr>
          <w:rFonts w:hint="default" w:ascii="Times New Roman" w:hAnsi="Times New Roman" w:eastAsia="黑体" w:cs="Times New Roman"/>
          <w:b w:val="0"/>
          <w:bCs/>
          <w:color w:val="auto"/>
          <w:kern w:val="0"/>
          <w:szCs w:val="20"/>
          <w:highlight w:val="none"/>
          <w:lang w:val="en-US" w:eastAsia="zh-CN"/>
        </w:rPr>
        <w:t>绝缘系统耐热性等级</w:t>
      </w:r>
    </w:p>
    <w:bookmarkEnd w:id="264"/>
    <w:p>
      <w:pPr>
        <w:spacing w:line="360" w:lineRule="auto"/>
        <w:ind w:firstLine="420" w:firstLineChars="200"/>
        <w:rPr>
          <w:rFonts w:hint="default" w:ascii="Times New Roman" w:hAnsi="Times New Roman" w:cs="Times New Roman"/>
          <w:color w:val="auto"/>
          <w:highlight w:val="none"/>
        </w:rPr>
      </w:pPr>
      <w:bookmarkStart w:id="265" w:name="_Toc419906053"/>
      <w:r>
        <w:rPr>
          <w:rFonts w:hint="default" w:ascii="Times New Roman" w:hAnsi="Times New Roman" w:cs="Times New Roman"/>
          <w:color w:val="auto"/>
          <w:highlight w:val="none"/>
        </w:rPr>
        <w:t>H级及以上。</w:t>
      </w:r>
      <w:bookmarkEnd w:id="265"/>
    </w:p>
    <w:p>
      <w:pPr>
        <w:spacing w:line="360" w:lineRule="auto"/>
        <w:outlineLvl w:val="4"/>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5.2.</w:t>
      </w:r>
      <w:r>
        <w:rPr>
          <w:rFonts w:hint="default" w:ascii="Times New Roman" w:hAnsi="Times New Roman" w:eastAsia="宋体" w:cs="Times New Roman"/>
          <w:b/>
          <w:bCs/>
          <w:color w:val="auto"/>
          <w:highlight w:val="none"/>
          <w:lang w:val="en-US" w:eastAsia="zh-CN"/>
        </w:rPr>
        <w:t>2.1.3</w:t>
      </w:r>
      <w:r>
        <w:rPr>
          <w:rFonts w:hint="default" w:ascii="Times New Roman" w:hAnsi="Times New Roman" w:eastAsia="黑体" w:cs="Times New Roman"/>
          <w:b w:val="0"/>
          <w:bCs/>
          <w:color w:val="auto"/>
          <w:kern w:val="0"/>
          <w:szCs w:val="20"/>
          <w:highlight w:val="none"/>
        </w:rPr>
        <w:t>温升限值</w:t>
      </w:r>
    </w:p>
    <w:p>
      <w:pPr>
        <w:pStyle w:val="36"/>
        <w:spacing w:line="360" w:lineRule="auto"/>
        <w:outlineLvl w:val="9"/>
        <w:rPr>
          <w:rFonts w:hint="default" w:ascii="Times New Roman" w:hAnsi="Times New Roman" w:eastAsia="宋体" w:cs="Times New Roman"/>
          <w:b w:val="0"/>
          <w:bCs w:val="0"/>
          <w:color w:val="auto"/>
          <w:highlight w:val="none"/>
        </w:rPr>
      </w:pPr>
      <w:r>
        <w:rPr>
          <w:rFonts w:hint="default" w:ascii="Times New Roman" w:hAnsi="Times New Roman" w:eastAsia="宋体" w:cs="Times New Roman"/>
          <w:b w:val="0"/>
          <w:bCs w:val="0"/>
          <w:color w:val="auto"/>
          <w:highlight w:val="none"/>
          <w:lang w:eastAsia="zh-CN"/>
        </w:rPr>
        <w:t>（</w:t>
      </w:r>
      <w:r>
        <w:rPr>
          <w:rFonts w:hint="default" w:ascii="Times New Roman" w:hAnsi="Times New Roman" w:eastAsia="宋体" w:cs="Times New Roman"/>
          <w:b w:val="0"/>
          <w:bCs w:val="0"/>
          <w:color w:val="auto"/>
          <w:highlight w:val="none"/>
          <w:lang w:val="en-US" w:eastAsia="zh-CN"/>
        </w:rPr>
        <w:t>1</w:t>
      </w:r>
      <w:r>
        <w:rPr>
          <w:rFonts w:hint="default" w:ascii="Times New Roman" w:hAnsi="Times New Roman" w:eastAsia="宋体" w:cs="Times New Roman"/>
          <w:b w:val="0"/>
          <w:bCs w:val="0"/>
          <w:color w:val="auto"/>
          <w:highlight w:val="none"/>
          <w:lang w:eastAsia="zh-CN"/>
        </w:rPr>
        <w:t>）</w:t>
      </w:r>
      <w:r>
        <w:rPr>
          <w:rFonts w:hint="default" w:ascii="Times New Roman" w:hAnsi="Times New Roman" w:eastAsia="宋体" w:cs="Times New Roman"/>
          <w:b w:val="0"/>
          <w:bCs w:val="0"/>
          <w:color w:val="auto"/>
          <w:highlight w:val="none"/>
        </w:rPr>
        <w:t>变压器在连续额定容量稳态下的正常温升限值如下（温升的设计值应按照海拔和环境温度的实际情况来修正</w:t>
      </w:r>
      <w:r>
        <w:rPr>
          <w:rFonts w:hint="default" w:ascii="Times New Roman" w:hAnsi="Times New Roman" w:eastAsia="宋体" w:cs="Times New Roman"/>
          <w:b w:val="0"/>
          <w:bCs w:val="0"/>
          <w:color w:val="auto"/>
          <w:highlight w:val="none"/>
          <w:lang w:eastAsia="zh-CN"/>
        </w:rPr>
        <w:t>，试验时不开风机</w:t>
      </w:r>
      <w:r>
        <w:rPr>
          <w:rFonts w:hint="default" w:ascii="Times New Roman" w:hAnsi="Times New Roman" w:eastAsia="宋体" w:cs="Times New Roman"/>
          <w:b w:val="0"/>
          <w:bCs w:val="0"/>
          <w:color w:val="auto"/>
          <w:highlight w:val="none"/>
        </w:rPr>
        <w:t>）：</w:t>
      </w:r>
    </w:p>
    <w:p>
      <w:pPr>
        <w:spacing w:line="360" w:lineRule="auto"/>
        <w:ind w:firstLine="555"/>
        <w:rPr>
          <w:rFonts w:hint="default" w:ascii="Times New Roman" w:hAnsi="Times New Roman" w:cs="Times New Roman"/>
          <w:color w:val="auto"/>
          <w:highlight w:val="none"/>
        </w:rPr>
      </w:pPr>
      <w:r>
        <w:rPr>
          <w:rFonts w:hint="default" w:ascii="Times New Roman" w:hAnsi="Times New Roman" w:cs="Times New Roman"/>
          <w:color w:val="auto"/>
          <w:highlight w:val="none"/>
        </w:rPr>
        <w:t>绕组最高温升：满足国家标准GB</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 1094.11的要求，详见表5.2。</w:t>
      </w:r>
    </w:p>
    <w:p>
      <w:pPr>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表5.2  绕组温升限值</w:t>
      </w:r>
    </w:p>
    <w:tbl>
      <w:tblPr>
        <w:tblStyle w:val="19"/>
        <w:tblW w:w="84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477"/>
        <w:gridCol w:w="3124"/>
        <w:gridCol w:w="28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2477" w:type="dxa"/>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绝缘系统温度 ℃</w:t>
            </w:r>
          </w:p>
        </w:tc>
        <w:tc>
          <w:tcPr>
            <w:tcW w:w="3124" w:type="dxa"/>
            <w:tcBorders>
              <w:right w:val="single" w:color="auto" w:sz="4" w:space="0"/>
            </w:tcBorders>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额定电流下的绕组平均温升限值 K</w:t>
            </w:r>
          </w:p>
        </w:tc>
        <w:tc>
          <w:tcPr>
            <w:tcW w:w="2800" w:type="dxa"/>
            <w:tcBorders>
              <w:left w:val="single" w:color="auto" w:sz="4" w:space="0"/>
            </w:tcBorders>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绕组热点温度额定值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4" w:hRule="atLeast"/>
          <w:jc w:val="center"/>
        </w:trPr>
        <w:tc>
          <w:tcPr>
            <w:tcW w:w="2477" w:type="dxa"/>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180(H)</w:t>
            </w:r>
          </w:p>
        </w:tc>
        <w:tc>
          <w:tcPr>
            <w:tcW w:w="3124" w:type="dxa"/>
            <w:tcBorders>
              <w:right w:val="single" w:color="auto" w:sz="4" w:space="0"/>
            </w:tcBorders>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125</w:t>
            </w:r>
          </w:p>
        </w:tc>
        <w:tc>
          <w:tcPr>
            <w:tcW w:w="2800" w:type="dxa"/>
            <w:tcBorders>
              <w:left w:val="single" w:color="auto" w:sz="4" w:space="0"/>
            </w:tcBorders>
            <w:vAlign w:val="center"/>
          </w:tcPr>
          <w:p>
            <w:pPr>
              <w:spacing w:before="40"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175</w:t>
            </w:r>
          </w:p>
        </w:tc>
      </w:tr>
    </w:tbl>
    <w:p>
      <w:pPr>
        <w:pStyle w:val="30"/>
        <w:spacing w:line="360" w:lineRule="auto"/>
        <w:ind w:firstLine="375"/>
        <w:outlineLvl w:val="9"/>
        <w:rPr>
          <w:rFonts w:hint="default" w:ascii="Times New Roman" w:hAnsi="Times New Roman" w:eastAsia="宋体" w:cs="Times New Roman"/>
          <w:b w:val="0"/>
          <w:color w:val="auto"/>
          <w:sz w:val="18"/>
          <w:szCs w:val="18"/>
          <w:highlight w:val="none"/>
        </w:rPr>
      </w:pPr>
      <w:r>
        <w:rPr>
          <w:rFonts w:hint="default" w:ascii="Times New Roman" w:hAnsi="Times New Roman" w:eastAsia="宋体" w:cs="Times New Roman"/>
          <w:b w:val="0"/>
          <w:color w:val="auto"/>
          <w:sz w:val="18"/>
          <w:szCs w:val="18"/>
          <w:highlight w:val="none"/>
        </w:rPr>
        <w:t>注：有关温度等级的字母代号见GB/T 11021。</w:t>
      </w:r>
    </w:p>
    <w:p>
      <w:pPr>
        <w:pStyle w:val="36"/>
        <w:spacing w:line="360" w:lineRule="auto"/>
        <w:outlineLvl w:val="9"/>
        <w:rPr>
          <w:rFonts w:hint="default" w:ascii="Times New Roman" w:hAnsi="Times New Roman" w:eastAsia="宋体" w:cs="Times New Roman"/>
          <w:b w:val="0"/>
          <w:bCs w:val="0"/>
          <w:color w:val="auto"/>
          <w:highlight w:val="none"/>
        </w:rPr>
      </w:pPr>
      <w:r>
        <w:rPr>
          <w:rFonts w:hint="default" w:ascii="Times New Roman" w:hAnsi="Times New Roman" w:cs="Times New Roman"/>
          <w:b w:val="0"/>
          <w:bCs w:val="0"/>
          <w:color w:val="auto"/>
          <w:highlight w:val="none"/>
          <w:lang w:eastAsia="zh-CN"/>
        </w:rPr>
        <w:t>（</w:t>
      </w:r>
      <w:r>
        <w:rPr>
          <w:rFonts w:hint="default" w:ascii="Times New Roman" w:hAnsi="Times New Roman" w:cs="Times New Roman"/>
          <w:b w:val="0"/>
          <w:bCs w:val="0"/>
          <w:color w:val="auto"/>
          <w:highlight w:val="none"/>
          <w:lang w:val="en-US" w:eastAsia="zh-CN"/>
        </w:rPr>
        <w:t>2</w:t>
      </w:r>
      <w:r>
        <w:rPr>
          <w:rFonts w:hint="default" w:ascii="Times New Roman" w:hAnsi="Times New Roman" w:cs="Times New Roman"/>
          <w:b w:val="0"/>
          <w:bCs w:val="0"/>
          <w:color w:val="auto"/>
          <w:highlight w:val="none"/>
          <w:lang w:eastAsia="zh-CN"/>
        </w:rPr>
        <w:t>）</w:t>
      </w:r>
      <w:r>
        <w:rPr>
          <w:rFonts w:hint="default" w:ascii="Times New Roman" w:hAnsi="Times New Roman" w:eastAsia="宋体" w:cs="Times New Roman"/>
          <w:b w:val="0"/>
          <w:bCs w:val="0"/>
          <w:color w:val="auto"/>
          <w:highlight w:val="none"/>
        </w:rPr>
        <w:t>热点温度应满足GB</w:t>
      </w:r>
      <w:r>
        <w:rPr>
          <w:rFonts w:hint="default" w:ascii="Times New Roman" w:hAnsi="Times New Roman" w:eastAsia="宋体" w:cs="Times New Roman"/>
          <w:b w:val="0"/>
          <w:bCs w:val="0"/>
          <w:color w:val="auto"/>
          <w:highlight w:val="none"/>
          <w:lang w:val="en-US" w:eastAsia="zh-CN"/>
        </w:rPr>
        <w:t>/T</w:t>
      </w:r>
      <w:r>
        <w:rPr>
          <w:rFonts w:hint="default" w:ascii="Times New Roman" w:hAnsi="Times New Roman" w:eastAsia="宋体" w:cs="Times New Roman"/>
          <w:b w:val="0"/>
          <w:bCs w:val="0"/>
          <w:color w:val="auto"/>
          <w:highlight w:val="none"/>
        </w:rPr>
        <w:t xml:space="preserve"> 1094.12的要求。</w:t>
      </w:r>
    </w:p>
    <w:p>
      <w:pPr>
        <w:pStyle w:val="36"/>
        <w:spacing w:line="360" w:lineRule="auto"/>
        <w:ind w:firstLine="0" w:firstLineChars="0"/>
        <w:outlineLvl w:val="9"/>
        <w:rPr>
          <w:rFonts w:hint="default" w:ascii="Times New Roman" w:hAnsi="Times New Roman" w:cs="Times New Roman"/>
          <w:b w:val="0"/>
          <w:bCs w:val="0"/>
          <w:color w:val="auto"/>
          <w:highlight w:val="none"/>
        </w:rPr>
      </w:pPr>
      <w:r>
        <w:rPr>
          <w:rFonts w:hint="default" w:ascii="Times New Roman" w:hAnsi="Times New Roman" w:eastAsia="宋体" w:cs="Times New Roman"/>
          <w:b w:val="0"/>
          <w:bCs w:val="0"/>
          <w:color w:val="auto"/>
          <w:highlight w:val="none"/>
          <w:lang w:eastAsia="zh-CN"/>
        </w:rPr>
        <w:t>（</w:t>
      </w:r>
      <w:r>
        <w:rPr>
          <w:rFonts w:hint="default" w:ascii="Times New Roman" w:hAnsi="Times New Roman" w:eastAsia="宋体" w:cs="Times New Roman"/>
          <w:b w:val="0"/>
          <w:bCs w:val="0"/>
          <w:color w:val="auto"/>
          <w:highlight w:val="none"/>
          <w:lang w:val="en-US" w:eastAsia="zh-CN"/>
        </w:rPr>
        <w:t>3</w:t>
      </w:r>
      <w:r>
        <w:rPr>
          <w:rFonts w:hint="default" w:ascii="Times New Roman" w:hAnsi="Times New Roman" w:eastAsia="宋体" w:cs="Times New Roman"/>
          <w:b w:val="0"/>
          <w:bCs w:val="0"/>
          <w:color w:val="auto"/>
          <w:highlight w:val="none"/>
          <w:lang w:eastAsia="zh-CN"/>
        </w:rPr>
        <w:t>）</w:t>
      </w:r>
      <w:r>
        <w:rPr>
          <w:rFonts w:hint="default" w:ascii="Times New Roman" w:hAnsi="Times New Roman" w:eastAsia="宋体" w:cs="Times New Roman"/>
          <w:b w:val="0"/>
          <w:bCs w:val="0"/>
          <w:color w:val="auto"/>
          <w:highlight w:val="none"/>
        </w:rPr>
        <w:t>铁心、金属部件和与其相邻的材料：在任何情况下，不应出现使铁心本身、其他部件或与其相邻的材料受到损害的温度。</w:t>
      </w:r>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5.2.2.2</w:t>
      </w:r>
      <w:r>
        <w:rPr>
          <w:rFonts w:hint="default" w:ascii="Times New Roman" w:hAnsi="Times New Roman" w:cs="Times New Roman"/>
          <w:b w:val="0"/>
          <w:color w:val="auto"/>
          <w:highlight w:val="none"/>
        </w:rPr>
        <w:t xml:space="preserve"> </w:t>
      </w:r>
      <w:r>
        <w:rPr>
          <w:rFonts w:hint="default" w:ascii="Times New Roman" w:hAnsi="Times New Roman" w:eastAsia="黑体" w:cs="Times New Roman"/>
          <w:b w:val="0"/>
          <w:bCs/>
          <w:color w:val="auto"/>
          <w:highlight w:val="none"/>
        </w:rPr>
        <w:t>防护等级</w:t>
      </w:r>
    </w:p>
    <w:p>
      <w:pPr>
        <w:spacing w:line="360" w:lineRule="auto"/>
        <w:ind w:firstLine="420" w:firstLineChars="200"/>
        <w:rPr>
          <w:rFonts w:hint="default" w:ascii="Times New Roman" w:hAnsi="Times New Roman" w:cs="Times New Roman"/>
          <w:color w:val="auto"/>
          <w:highlight w:val="none"/>
        </w:rPr>
      </w:pPr>
      <w:bookmarkStart w:id="266" w:name="_Toc419906054"/>
      <w:bookmarkStart w:id="267" w:name="_Toc419906347"/>
      <w:r>
        <w:rPr>
          <w:rFonts w:hint="default" w:ascii="Times New Roman" w:hAnsi="Times New Roman" w:cs="Times New Roman"/>
          <w:color w:val="auto"/>
          <w:highlight w:val="none"/>
        </w:rPr>
        <w:t>干式配电变压器带外壳时防护等级应符合GB</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 4208的规定，不低于IP20。</w:t>
      </w:r>
      <w:bookmarkEnd w:id="266"/>
      <w:bookmarkEnd w:id="267"/>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3</w:t>
      </w:r>
      <w:r>
        <w:rPr>
          <w:rFonts w:hint="default" w:ascii="Times New Roman" w:hAnsi="Times New Roman" w:cs="Times New Roman"/>
          <w:b w:val="0"/>
          <w:color w:val="auto"/>
          <w:highlight w:val="none"/>
        </w:rPr>
        <w:t xml:space="preserve"> </w:t>
      </w:r>
      <w:r>
        <w:rPr>
          <w:rFonts w:hint="default" w:ascii="Times New Roman" w:hAnsi="Times New Roman" w:eastAsia="黑体" w:cs="Times New Roman"/>
          <w:b w:val="0"/>
          <w:bCs/>
          <w:color w:val="auto"/>
          <w:highlight w:val="none"/>
        </w:rPr>
        <w:t>能效值</w:t>
      </w:r>
    </w:p>
    <w:p>
      <w:pPr>
        <w:pStyle w:val="29"/>
        <w:spacing w:line="360" w:lineRule="auto"/>
        <w:ind w:firstLine="420"/>
        <w:rPr>
          <w:rFonts w:hint="default" w:ascii="Times New Roman" w:hAnsi="Times New Roman" w:cs="Times New Roman"/>
          <w:color w:val="auto"/>
          <w:szCs w:val="21"/>
          <w:highlight w:val="none"/>
        </w:rPr>
      </w:pPr>
      <w:r>
        <w:rPr>
          <w:rFonts w:hint="default" w:ascii="Times New Roman" w:hAnsi="Times New Roman" w:cs="Times New Roman"/>
          <w:color w:val="auto"/>
          <w:szCs w:val="21"/>
          <w:highlight w:val="none"/>
        </w:rPr>
        <w:t>干式变压器</w:t>
      </w:r>
      <w:r>
        <w:rPr>
          <w:rFonts w:hint="default" w:ascii="Times New Roman" w:hAnsi="Times New Roman" w:cs="Times New Roman"/>
          <w:color w:val="auto"/>
          <w:highlight w:val="none"/>
        </w:rPr>
        <w:t>的能效值应满足GB/T10228、JB/T3837、</w:t>
      </w:r>
      <w:r>
        <w:rPr>
          <w:rFonts w:hint="default" w:ascii="Times New Roman" w:hAnsi="Times New Roman" w:cs="Times New Roman"/>
          <w:color w:val="auto"/>
          <w:szCs w:val="21"/>
          <w:highlight w:val="none"/>
        </w:rPr>
        <w:t xml:space="preserve">GB 20052及 </w:t>
      </w:r>
      <w:r>
        <w:rPr>
          <w:rFonts w:hint="default" w:ascii="Times New Roman" w:hAnsi="Times New Roman" w:cs="Times New Roman"/>
          <w:color w:val="auto"/>
          <w:highlight w:val="none"/>
        </w:rPr>
        <w:t>Q/CSG 11111001</w:t>
      </w:r>
      <w:r>
        <w:rPr>
          <w:rFonts w:hint="default" w:ascii="Times New Roman" w:hAnsi="Times New Roman" w:cs="Times New Roman"/>
          <w:color w:val="auto"/>
          <w:szCs w:val="21"/>
          <w:highlight w:val="none"/>
        </w:rPr>
        <w:t>的规定。</w:t>
      </w:r>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4</w:t>
      </w:r>
      <w:r>
        <w:rPr>
          <w:rFonts w:hint="default" w:ascii="Times New Roman" w:hAnsi="Times New Roman" w:cs="Times New Roman"/>
          <w:bCs/>
          <w:color w:val="auto"/>
          <w:highlight w:val="none"/>
        </w:rPr>
        <w:t xml:space="preserve"> </w:t>
      </w:r>
      <w:r>
        <w:rPr>
          <w:rFonts w:hint="default" w:ascii="Times New Roman" w:hAnsi="Times New Roman" w:eastAsia="黑体" w:cs="Times New Roman"/>
          <w:b w:val="0"/>
          <w:bCs/>
          <w:color w:val="auto"/>
          <w:highlight w:val="none"/>
        </w:rPr>
        <w:t>允许偏差</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.1</w:t>
      </w:r>
      <w:r>
        <w:rPr>
          <w:rFonts w:hint="default" w:ascii="Times New Roman" w:hAnsi="Times New Roman" w:eastAsia="宋体" w:cs="Times New Roman"/>
          <w:b/>
          <w:bCs/>
          <w:color w:val="auto"/>
          <w:highlight w:val="none"/>
        </w:rPr>
        <w:t xml:space="preserve"> </w:t>
      </w:r>
      <w:r>
        <w:rPr>
          <w:rFonts w:hint="default" w:ascii="Times New Roman" w:hAnsi="Times New Roman" w:eastAsia="黑体" w:cs="Times New Roman"/>
          <w:bCs/>
          <w:color w:val="auto"/>
          <w:highlight w:val="none"/>
        </w:rPr>
        <w:t>损耗偏差</w:t>
      </w:r>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1）空载损耗偏差：不允许存在正偏差。</w:t>
      </w:r>
    </w:p>
    <w:p>
      <w:pPr>
        <w:pStyle w:val="36"/>
        <w:spacing w:line="360" w:lineRule="auto"/>
        <w:ind w:firstLine="420" w:firstLineChars="20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2）负载损耗偏差：不允许存在正偏差。</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 xml:space="preserve">.2 </w:t>
      </w:r>
      <w:r>
        <w:rPr>
          <w:rFonts w:hint="default" w:ascii="Times New Roman" w:hAnsi="Times New Roman" w:eastAsia="宋体" w:cs="Times New Roman"/>
          <w:color w:val="auto"/>
          <w:highlight w:val="none"/>
        </w:rPr>
        <w:t>短路阻抗偏差</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允许偏差±10%以内。</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w:t>
      </w:r>
      <w:r>
        <w:rPr>
          <w:rFonts w:hint="default" w:ascii="Times New Roman" w:hAnsi="Times New Roman" w:cs="Times New Roman"/>
          <w:b/>
          <w:bCs/>
          <w:color w:val="auto"/>
          <w:highlight w:val="none"/>
          <w:lang w:val="en-US" w:eastAsia="zh-CN"/>
        </w:rPr>
        <w:t>4</w:t>
      </w: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w:t>
      </w:r>
      <w:r>
        <w:rPr>
          <w:rFonts w:hint="default" w:ascii="Times New Roman" w:hAnsi="Times New Roman" w:eastAsia="宋体" w:cs="Times New Roman"/>
          <w:color w:val="auto"/>
          <w:highlight w:val="none"/>
        </w:rPr>
        <w:t>空载电流偏差</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不允许存在正偏差。</w:t>
      </w:r>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5</w:t>
      </w:r>
      <w:r>
        <w:rPr>
          <w:rFonts w:hint="default" w:ascii="Times New Roman" w:hAnsi="Times New Roman" w:cs="Times New Roman"/>
          <w:b w:val="0"/>
          <w:color w:val="auto"/>
          <w:highlight w:val="none"/>
        </w:rPr>
        <w:t xml:space="preserve"> </w:t>
      </w:r>
      <w:r>
        <w:rPr>
          <w:rFonts w:hint="default" w:ascii="Times New Roman" w:hAnsi="Times New Roman" w:eastAsia="黑体" w:cs="Times New Roman"/>
          <w:b w:val="0"/>
          <w:bCs/>
          <w:color w:val="auto"/>
          <w:highlight w:val="none"/>
        </w:rPr>
        <w:t>负载能力</w:t>
      </w:r>
    </w:p>
    <w:p>
      <w:pPr>
        <w:spacing w:line="360" w:lineRule="auto"/>
        <w:ind w:firstLine="420" w:firstLineChars="200"/>
        <w:rPr>
          <w:rFonts w:hint="default" w:ascii="Times New Roman" w:hAnsi="Times New Roman" w:cs="Times New Roman"/>
          <w:color w:val="auto"/>
          <w:highlight w:val="none"/>
        </w:rPr>
      </w:pPr>
      <w:bookmarkStart w:id="268" w:name="_Toc419906055"/>
      <w:r>
        <w:rPr>
          <w:rFonts w:hint="default" w:ascii="Times New Roman" w:hAnsi="Times New Roman" w:cs="Times New Roman"/>
          <w:color w:val="auto"/>
          <w:highlight w:val="none"/>
        </w:rPr>
        <w:t>应满足GB/T 1094.12 《电力变压器 第12部分：干式电力变压器负载导则》的要求。</w:t>
      </w:r>
      <w:bookmarkEnd w:id="268"/>
    </w:p>
    <w:p>
      <w:pPr>
        <w:pStyle w:val="35"/>
        <w:spacing w:line="360" w:lineRule="auto"/>
        <w:outlineLvl w:val="3"/>
        <w:rPr>
          <w:rFonts w:hint="default" w:ascii="Times New Roman" w:hAnsi="Times New Roman" w:cs="Times New Roman"/>
          <w:b w:val="0"/>
          <w:color w:val="auto"/>
          <w:szCs w:val="22"/>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6</w:t>
      </w:r>
      <w:r>
        <w:rPr>
          <w:rFonts w:hint="default" w:ascii="Times New Roman" w:hAnsi="Times New Roman" w:cs="Times New Roman"/>
          <w:bCs/>
          <w:color w:val="auto"/>
          <w:highlight w:val="none"/>
        </w:rPr>
        <w:t xml:space="preserve"> </w:t>
      </w:r>
      <w:r>
        <w:rPr>
          <w:rFonts w:hint="default" w:ascii="Times New Roman" w:hAnsi="Times New Roman" w:eastAsia="黑体" w:cs="Times New Roman"/>
          <w:b w:val="0"/>
          <w:bCs/>
          <w:color w:val="auto"/>
          <w:szCs w:val="20"/>
          <w:highlight w:val="none"/>
        </w:rPr>
        <w:t>过负荷能力</w:t>
      </w:r>
      <w:r>
        <w:rPr>
          <w:rFonts w:hint="default" w:ascii="Times New Roman" w:hAnsi="Times New Roman" w:cs="Times New Roman"/>
          <w:b w:val="0"/>
          <w:color w:val="auto"/>
          <w:szCs w:val="22"/>
          <w:highlight w:val="none"/>
        </w:rPr>
        <w:t xml:space="preserve"> </w:t>
      </w:r>
    </w:p>
    <w:p>
      <w:pPr>
        <w:widowControl/>
        <w:numPr>
          <w:ilvl w:val="2"/>
          <w:numId w:val="0"/>
        </w:numPr>
        <w:spacing w:line="360" w:lineRule="auto"/>
        <w:ind w:firstLine="420" w:firstLineChars="200"/>
        <w:rPr>
          <w:rFonts w:hint="default" w:ascii="Times New Roman" w:hAnsi="Times New Roman" w:cs="Times New Roman"/>
          <w:color w:val="auto"/>
          <w:kern w:val="0"/>
          <w:szCs w:val="20"/>
          <w:highlight w:val="none"/>
        </w:rPr>
      </w:pPr>
      <w:bookmarkStart w:id="269" w:name="_Toc419473013"/>
      <w:bookmarkStart w:id="270" w:name="_Toc420850202"/>
      <w:bookmarkStart w:id="271" w:name="_Toc321477763"/>
      <w:r>
        <w:rPr>
          <w:rFonts w:hint="default" w:ascii="Times New Roman" w:hAnsi="Times New Roman" w:cs="Times New Roman"/>
          <w:color w:val="auto"/>
          <w:kern w:val="0"/>
          <w:szCs w:val="20"/>
          <w:highlight w:val="none"/>
        </w:rPr>
        <w:t>变压器在长期额定电流时按表5.3内任意一列过负荷倍数和</w:t>
      </w:r>
      <w:r>
        <w:rPr>
          <w:rFonts w:hint="default" w:ascii="Times New Roman" w:hAnsi="Times New Roman" w:cs="Times New Roman"/>
          <w:color w:val="auto"/>
          <w:kern w:val="0"/>
          <w:szCs w:val="20"/>
          <w:highlight w:val="none"/>
          <w:lang w:eastAsia="zh-CN"/>
        </w:rPr>
        <w:t>持续</w:t>
      </w:r>
      <w:r>
        <w:rPr>
          <w:rFonts w:hint="default" w:ascii="Times New Roman" w:hAnsi="Times New Roman" w:cs="Times New Roman"/>
          <w:color w:val="auto"/>
          <w:kern w:val="0"/>
          <w:szCs w:val="20"/>
          <w:highlight w:val="none"/>
        </w:rPr>
        <w:t>允许时间的组合运行</w:t>
      </w:r>
      <w:r>
        <w:rPr>
          <w:rFonts w:hint="default" w:ascii="Times New Roman" w:hAnsi="Times New Roman" w:cs="Times New Roman"/>
          <w:color w:val="auto"/>
          <w:kern w:val="0"/>
          <w:szCs w:val="20"/>
          <w:highlight w:val="none"/>
          <w:lang w:eastAsia="zh-CN"/>
        </w:rPr>
        <w:t>（不开风机）</w:t>
      </w:r>
      <w:r>
        <w:rPr>
          <w:rFonts w:hint="default" w:ascii="Times New Roman" w:hAnsi="Times New Roman" w:cs="Times New Roman"/>
          <w:color w:val="auto"/>
          <w:kern w:val="0"/>
          <w:szCs w:val="20"/>
          <w:highlight w:val="none"/>
        </w:rPr>
        <w:t>，应满足：</w:t>
      </w:r>
      <w:bookmarkEnd w:id="269"/>
      <w:bookmarkEnd w:id="270"/>
    </w:p>
    <w:p>
      <w:pPr>
        <w:widowControl/>
        <w:numPr>
          <w:ilvl w:val="2"/>
          <w:numId w:val="0"/>
        </w:numPr>
        <w:spacing w:line="360" w:lineRule="auto"/>
        <w:ind w:firstLine="420" w:firstLineChars="200"/>
        <w:rPr>
          <w:rFonts w:hint="default" w:ascii="Times New Roman" w:hAnsi="Times New Roman" w:cs="Times New Roman"/>
          <w:color w:val="auto"/>
          <w:kern w:val="0"/>
          <w:szCs w:val="20"/>
          <w:highlight w:val="none"/>
        </w:rPr>
      </w:pPr>
      <w:bookmarkStart w:id="272" w:name="_Toc419473014"/>
      <w:bookmarkStart w:id="273" w:name="_Toc420850203"/>
      <w:r>
        <w:rPr>
          <w:rFonts w:hint="default" w:ascii="Times New Roman" w:hAnsi="Times New Roman" w:cs="Times New Roman"/>
          <w:color w:val="auto"/>
          <w:kern w:val="0"/>
          <w:szCs w:val="20"/>
          <w:highlight w:val="none"/>
        </w:rPr>
        <w:t>线圈热点温度和与纤维绝缘材料接触的金属部件的温度不超过：205℃</w:t>
      </w:r>
      <w:bookmarkEnd w:id="272"/>
      <w:bookmarkStart w:id="274" w:name="_Toc419473017"/>
      <w:r>
        <w:rPr>
          <w:rFonts w:hint="default" w:ascii="Times New Roman" w:hAnsi="Times New Roman" w:cs="Times New Roman"/>
          <w:color w:val="auto"/>
          <w:kern w:val="0"/>
          <w:szCs w:val="20"/>
          <w:highlight w:val="none"/>
        </w:rPr>
        <w:t>（H级绝缘等级）</w:t>
      </w:r>
      <w:bookmarkEnd w:id="274"/>
      <w:bookmarkStart w:id="275" w:name="_Toc419473018"/>
      <w:r>
        <w:rPr>
          <w:rFonts w:hint="default" w:ascii="Times New Roman" w:hAnsi="Times New Roman" w:cs="Times New Roman"/>
          <w:color w:val="auto"/>
          <w:kern w:val="0"/>
          <w:szCs w:val="20"/>
          <w:highlight w:val="none"/>
        </w:rPr>
        <w:t>。</w:t>
      </w:r>
      <w:bookmarkEnd w:id="271"/>
      <w:bookmarkEnd w:id="273"/>
      <w:bookmarkEnd w:id="275"/>
    </w:p>
    <w:p>
      <w:pPr>
        <w:widowControl/>
        <w:jc w:val="center"/>
        <w:rPr>
          <w:rFonts w:hint="default" w:ascii="Times New Roman" w:hAnsi="Times New Roman" w:eastAsia="黑体" w:cs="Times New Roman"/>
          <w:color w:val="auto"/>
          <w:kern w:val="0"/>
          <w:sz w:val="18"/>
          <w:szCs w:val="21"/>
          <w:highlight w:val="none"/>
          <w:lang w:eastAsia="zh-CN"/>
        </w:rPr>
      </w:pPr>
      <w:r>
        <w:rPr>
          <w:rFonts w:hint="default" w:ascii="Times New Roman" w:hAnsi="Times New Roman" w:eastAsia="黑体" w:cs="Times New Roman"/>
          <w:color w:val="auto"/>
          <w:kern w:val="0"/>
          <w:sz w:val="18"/>
          <w:szCs w:val="21"/>
          <w:highlight w:val="none"/>
        </w:rPr>
        <w:t>表5.3  变压器过负荷能力</w:t>
      </w:r>
    </w:p>
    <w:tbl>
      <w:tblPr>
        <w:tblStyle w:val="19"/>
        <w:tblW w:w="8558" w:type="dxa"/>
        <w:tblInd w:w="0" w:type="dxa"/>
        <w:tblLayout w:type="fixed"/>
        <w:tblCellMar>
          <w:top w:w="0" w:type="dxa"/>
          <w:left w:w="108" w:type="dxa"/>
          <w:bottom w:w="0" w:type="dxa"/>
          <w:right w:w="108" w:type="dxa"/>
        </w:tblCellMar>
      </w:tblPr>
      <w:tblGrid>
        <w:gridCol w:w="1426"/>
        <w:gridCol w:w="1426"/>
        <w:gridCol w:w="1426"/>
        <w:gridCol w:w="1426"/>
        <w:gridCol w:w="1427"/>
        <w:gridCol w:w="1427"/>
      </w:tblGrid>
      <w:tr>
        <w:tblPrEx>
          <w:tblCellMar>
            <w:top w:w="0" w:type="dxa"/>
            <w:left w:w="108" w:type="dxa"/>
            <w:bottom w:w="0" w:type="dxa"/>
            <w:right w:w="108" w:type="dxa"/>
          </w:tblCellMar>
        </w:tblPrEx>
        <w:trPr>
          <w:trHeight w:val="294" w:hRule="atLeast"/>
        </w:trPr>
        <w:tc>
          <w:tcPr>
            <w:tcW w:w="1426"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过负荷倍数</w:t>
            </w:r>
          </w:p>
        </w:tc>
        <w:tc>
          <w:tcPr>
            <w:tcW w:w="142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xml:space="preserve">1.30 </w:t>
            </w:r>
          </w:p>
        </w:tc>
        <w:tc>
          <w:tcPr>
            <w:tcW w:w="142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xml:space="preserve">1.45 </w:t>
            </w:r>
          </w:p>
        </w:tc>
        <w:tc>
          <w:tcPr>
            <w:tcW w:w="1426"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xml:space="preserve">1.60 </w:t>
            </w:r>
          </w:p>
        </w:tc>
        <w:tc>
          <w:tcPr>
            <w:tcW w:w="1427"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xml:space="preserve">1.75 </w:t>
            </w:r>
          </w:p>
        </w:tc>
        <w:tc>
          <w:tcPr>
            <w:tcW w:w="1427" w:type="dxa"/>
            <w:tcBorders>
              <w:top w:val="single" w:color="auto" w:sz="4" w:space="0"/>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xml:space="preserve">2.00 </w:t>
            </w:r>
          </w:p>
        </w:tc>
      </w:tr>
      <w:tr>
        <w:tblPrEx>
          <w:tblCellMar>
            <w:top w:w="0" w:type="dxa"/>
            <w:left w:w="108" w:type="dxa"/>
            <w:bottom w:w="0" w:type="dxa"/>
            <w:right w:w="108" w:type="dxa"/>
          </w:tblCellMar>
        </w:tblPrEx>
        <w:trPr>
          <w:trHeight w:val="412" w:hRule="atLeast"/>
        </w:trPr>
        <w:tc>
          <w:tcPr>
            <w:tcW w:w="1426" w:type="dxa"/>
            <w:tcBorders>
              <w:top w:val="nil"/>
              <w:left w:val="single" w:color="auto" w:sz="4" w:space="0"/>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允许时间（min）</w:t>
            </w:r>
          </w:p>
        </w:tc>
        <w:tc>
          <w:tcPr>
            <w:tcW w:w="1426" w:type="dxa"/>
            <w:tcBorders>
              <w:top w:val="nil"/>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40</w:t>
            </w:r>
          </w:p>
        </w:tc>
        <w:tc>
          <w:tcPr>
            <w:tcW w:w="1426" w:type="dxa"/>
            <w:tcBorders>
              <w:top w:val="nil"/>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30</w:t>
            </w:r>
          </w:p>
        </w:tc>
        <w:tc>
          <w:tcPr>
            <w:tcW w:w="1426" w:type="dxa"/>
            <w:tcBorders>
              <w:top w:val="nil"/>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20</w:t>
            </w:r>
          </w:p>
        </w:tc>
        <w:tc>
          <w:tcPr>
            <w:tcW w:w="1427" w:type="dxa"/>
            <w:tcBorders>
              <w:top w:val="nil"/>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10</w:t>
            </w:r>
          </w:p>
        </w:tc>
        <w:tc>
          <w:tcPr>
            <w:tcW w:w="1427" w:type="dxa"/>
            <w:tcBorders>
              <w:top w:val="nil"/>
              <w:left w:val="nil"/>
              <w:bottom w:val="single" w:color="auto" w:sz="4" w:space="0"/>
              <w:right w:val="single" w:color="auto" w:sz="4" w:space="0"/>
            </w:tcBorders>
            <w:vAlign w:val="center"/>
          </w:tcPr>
          <w:p>
            <w:pPr>
              <w:widowControl/>
              <w:spacing w:line="288" w:lineRule="auto"/>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w:t>
            </w:r>
          </w:p>
        </w:tc>
      </w:tr>
    </w:tbl>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7</w:t>
      </w:r>
      <w:r>
        <w:rPr>
          <w:rFonts w:hint="default" w:ascii="Times New Roman" w:hAnsi="Times New Roman" w:cs="Times New Roman"/>
          <w:bCs/>
          <w:color w:val="auto"/>
          <w:highlight w:val="none"/>
        </w:rPr>
        <w:t xml:space="preserve"> </w:t>
      </w:r>
      <w:r>
        <w:rPr>
          <w:rFonts w:hint="default" w:ascii="Times New Roman" w:hAnsi="Times New Roman" w:eastAsia="黑体" w:cs="Times New Roman"/>
          <w:b w:val="0"/>
          <w:bCs/>
          <w:color w:val="auto"/>
          <w:highlight w:val="none"/>
        </w:rPr>
        <w:t>中性点引出线及端子</w:t>
      </w:r>
    </w:p>
    <w:p>
      <w:pPr>
        <w:spacing w:line="360" w:lineRule="auto"/>
        <w:ind w:firstLine="420" w:firstLineChars="200"/>
        <w:rPr>
          <w:rFonts w:hint="default" w:ascii="Times New Roman" w:hAnsi="Times New Roman" w:cs="Times New Roman"/>
          <w:color w:val="auto"/>
          <w:highlight w:val="none"/>
        </w:rPr>
      </w:pPr>
      <w:bookmarkStart w:id="276" w:name="_Toc419906056"/>
      <w:r>
        <w:rPr>
          <w:rFonts w:hint="default" w:ascii="Times New Roman" w:hAnsi="Times New Roman" w:cs="Times New Roman"/>
          <w:color w:val="auto"/>
          <w:highlight w:val="none"/>
        </w:rPr>
        <w:t>应具有与相线及端子相同的通流能力。</w:t>
      </w:r>
      <w:bookmarkEnd w:id="276"/>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8</w:t>
      </w:r>
      <w:r>
        <w:rPr>
          <w:rFonts w:hint="default" w:ascii="Times New Roman" w:hAnsi="Times New Roman" w:cs="Times New Roman"/>
          <w:b w:val="0"/>
          <w:color w:val="auto"/>
          <w:highlight w:val="none"/>
        </w:rPr>
        <w:t xml:space="preserve"> </w:t>
      </w:r>
      <w:r>
        <w:rPr>
          <w:rFonts w:hint="default" w:ascii="Times New Roman" w:hAnsi="Times New Roman" w:eastAsia="黑体" w:cs="Times New Roman"/>
          <w:b w:val="0"/>
          <w:bCs/>
          <w:color w:val="auto"/>
          <w:highlight w:val="none"/>
        </w:rPr>
        <w:t>局部放电水平</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在施加1.8Ur（额定电压）、时间30秒后，将相电压降至1.3 Ur继续试验3分钟的放电量小于10pC。</w:t>
      </w:r>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w:t>
      </w:r>
      <w:r>
        <w:rPr>
          <w:rFonts w:hint="default" w:ascii="Times New Roman" w:hAnsi="Times New Roman" w:cs="Times New Roman"/>
          <w:bCs/>
          <w:color w:val="auto"/>
          <w:highlight w:val="none"/>
          <w:lang w:val="en-US" w:eastAsia="zh-CN"/>
        </w:rPr>
        <w:t>9</w:t>
      </w:r>
      <w:r>
        <w:rPr>
          <w:rFonts w:hint="default" w:ascii="Times New Roman" w:hAnsi="Times New Roman" w:cs="Times New Roman"/>
          <w:bCs/>
          <w:color w:val="auto"/>
          <w:highlight w:val="none"/>
        </w:rPr>
        <w:t xml:space="preserve"> </w:t>
      </w:r>
      <w:r>
        <w:rPr>
          <w:rFonts w:hint="default" w:ascii="Times New Roman" w:hAnsi="Times New Roman" w:eastAsia="黑体" w:cs="Times New Roman"/>
          <w:b w:val="0"/>
          <w:bCs/>
          <w:color w:val="auto"/>
          <w:highlight w:val="none"/>
        </w:rPr>
        <w:t>噪声水平</w:t>
      </w:r>
    </w:p>
    <w:p>
      <w:pPr>
        <w:spacing w:line="360" w:lineRule="auto"/>
        <w:ind w:firstLine="420" w:firstLineChars="200"/>
        <w:rPr>
          <w:rFonts w:hint="default" w:ascii="Times New Roman" w:hAnsi="Times New Roman" w:cs="Times New Roman"/>
          <w:color w:val="auto"/>
          <w:highlight w:val="none"/>
        </w:rPr>
      </w:pPr>
      <w:bookmarkStart w:id="277" w:name="_Toc419906057"/>
      <w:r>
        <w:rPr>
          <w:rFonts w:hint="default" w:ascii="Times New Roman" w:hAnsi="Times New Roman" w:cs="Times New Roman"/>
          <w:color w:val="auto"/>
          <w:highlight w:val="none"/>
        </w:rPr>
        <w:t>对于在额定电压和额定电流下运行的变压器，其声级水平应符合技术规范书专用部分的技术参数表的规定，不允许存在正偏差。声级测定方法按GB/T 1094.10规定。</w:t>
      </w:r>
      <w:bookmarkEnd w:id="277"/>
    </w:p>
    <w:p>
      <w:pPr>
        <w:pStyle w:val="35"/>
        <w:spacing w:line="360" w:lineRule="auto"/>
        <w:outlineLvl w:val="3"/>
        <w:rPr>
          <w:rFonts w:hint="default" w:ascii="Times New Roman" w:hAnsi="Times New Roman" w:cs="Times New Roman"/>
          <w:b w:val="0"/>
          <w:color w:val="auto"/>
          <w:highlight w:val="none"/>
        </w:rPr>
      </w:pPr>
      <w:r>
        <w:rPr>
          <w:rFonts w:hint="default" w:ascii="Times New Roman" w:hAnsi="Times New Roman" w:cs="Times New Roman"/>
          <w:bCs/>
          <w:color w:val="auto"/>
          <w:highlight w:val="none"/>
        </w:rPr>
        <w:t>5.2.2.1</w:t>
      </w:r>
      <w:r>
        <w:rPr>
          <w:rFonts w:hint="default" w:ascii="Times New Roman" w:hAnsi="Times New Roman" w:cs="Times New Roman"/>
          <w:bCs/>
          <w:color w:val="auto"/>
          <w:highlight w:val="none"/>
          <w:lang w:val="en-US" w:eastAsia="zh-CN"/>
        </w:rPr>
        <w:t>0</w:t>
      </w:r>
      <w:r>
        <w:rPr>
          <w:rFonts w:hint="default" w:ascii="Times New Roman" w:hAnsi="Times New Roman" w:cs="Times New Roman"/>
          <w:bCs/>
          <w:color w:val="auto"/>
          <w:highlight w:val="none"/>
        </w:rPr>
        <w:t xml:space="preserve"> </w:t>
      </w:r>
      <w:r>
        <w:rPr>
          <w:rFonts w:hint="default" w:ascii="Times New Roman" w:hAnsi="Times New Roman" w:eastAsia="黑体" w:cs="Times New Roman"/>
          <w:b w:val="0"/>
          <w:bCs/>
          <w:color w:val="auto"/>
          <w:highlight w:val="none"/>
        </w:rPr>
        <w:t>变压器承受外部短路的能力</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0</w:t>
      </w:r>
      <w:r>
        <w:rPr>
          <w:rFonts w:hint="default" w:ascii="Times New Roman" w:hAnsi="Times New Roman" w:cs="Times New Roman"/>
          <w:b/>
          <w:bCs/>
          <w:color w:val="auto"/>
          <w:highlight w:val="none"/>
        </w:rPr>
        <w:t xml:space="preserve">.1 </w:t>
      </w:r>
      <w:r>
        <w:rPr>
          <w:rFonts w:hint="default" w:ascii="Times New Roman" w:hAnsi="Times New Roman" w:eastAsia="黑体" w:cs="Times New Roman"/>
          <w:color w:val="auto"/>
          <w:highlight w:val="none"/>
        </w:rPr>
        <w:t>变压器承受外部短路的耐热能力</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变压器在任一分接下，应能持续承受2s时间的外部短路耐热能力的电流，并且其绕组温度应不超过</w:t>
      </w:r>
      <w:r>
        <w:rPr>
          <w:rFonts w:hint="default" w:ascii="Times New Roman" w:hAnsi="Times New Roman" w:cs="Times New Roman"/>
          <w:color w:val="auto"/>
          <w:highlight w:val="none"/>
          <w:lang w:val="en-US" w:eastAsia="zh-CN"/>
        </w:rPr>
        <w:t>3</w:t>
      </w:r>
      <w:r>
        <w:rPr>
          <w:rFonts w:hint="default" w:ascii="Times New Roman" w:hAnsi="Times New Roman" w:cs="Times New Roman"/>
          <w:color w:val="auto"/>
          <w:highlight w:val="none"/>
        </w:rPr>
        <w:t>50℃(铜)。</w:t>
      </w:r>
    </w:p>
    <w:p>
      <w:pPr>
        <w:pStyle w:val="36"/>
        <w:spacing w:line="360" w:lineRule="auto"/>
        <w:outlineLvl w:val="9"/>
        <w:rPr>
          <w:rFonts w:hint="default" w:ascii="Times New Roman" w:hAnsi="Times New Roman" w:eastAsia="黑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0</w:t>
      </w: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变压器承受外部短路的动稳定能力</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变压器在任一分接下，应能承受国家标准GB</w:t>
      </w:r>
      <w:r>
        <w:rPr>
          <w:rFonts w:hint="default" w:ascii="Times New Roman" w:hAnsi="Times New Roman" w:cs="Times New Roman"/>
          <w:color w:val="auto"/>
          <w:highlight w:val="none"/>
          <w:lang w:val="en-US" w:eastAsia="zh-CN"/>
        </w:rPr>
        <w:t>/T</w:t>
      </w:r>
      <w:r>
        <w:rPr>
          <w:rFonts w:hint="default" w:ascii="Times New Roman" w:hAnsi="Times New Roman" w:cs="Times New Roman"/>
          <w:color w:val="auto"/>
          <w:highlight w:val="none"/>
        </w:rPr>
        <w:t xml:space="preserve"> 1094.5所规定的短路试验电流值而不损坏。</w:t>
      </w:r>
    </w:p>
    <w:p>
      <w:pPr>
        <w:pStyle w:val="35"/>
        <w:spacing w:line="360" w:lineRule="auto"/>
        <w:outlineLvl w:val="3"/>
        <w:rPr>
          <w:rFonts w:hint="default" w:ascii="Times New Roman" w:hAnsi="Times New Roman" w:cs="Times New Roman"/>
          <w:b w:val="0"/>
          <w:bCs w:val="0"/>
          <w:color w:val="auto"/>
          <w:highlight w:val="none"/>
        </w:rPr>
      </w:pPr>
      <w:r>
        <w:rPr>
          <w:rFonts w:hint="default" w:ascii="Times New Roman" w:hAnsi="Times New Roman" w:cs="Times New Roman"/>
          <w:bCs/>
          <w:color w:val="auto"/>
          <w:szCs w:val="22"/>
          <w:highlight w:val="none"/>
        </w:rPr>
        <w:t>5.2.2.1</w:t>
      </w:r>
      <w:r>
        <w:rPr>
          <w:rFonts w:hint="default" w:ascii="Times New Roman" w:hAnsi="Times New Roman" w:cs="Times New Roman"/>
          <w:bCs/>
          <w:color w:val="auto"/>
          <w:szCs w:val="22"/>
          <w:highlight w:val="none"/>
          <w:lang w:val="en-US" w:eastAsia="zh-CN"/>
        </w:rPr>
        <w:t>1</w:t>
      </w:r>
      <w:r>
        <w:rPr>
          <w:rFonts w:hint="default" w:ascii="Times New Roman" w:hAnsi="Times New Roman" w:cs="Times New Roman"/>
          <w:bCs/>
          <w:color w:val="auto"/>
          <w:szCs w:val="22"/>
          <w:highlight w:val="none"/>
        </w:rPr>
        <w:t xml:space="preserve"> </w:t>
      </w:r>
      <w:r>
        <w:rPr>
          <w:rFonts w:hint="default" w:ascii="Times New Roman" w:hAnsi="Times New Roman" w:eastAsia="黑体" w:cs="Times New Roman"/>
          <w:b w:val="0"/>
          <w:bCs w:val="0"/>
          <w:color w:val="auto"/>
          <w:highlight w:val="none"/>
        </w:rPr>
        <w:t>结构要求</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铁心</w:t>
      </w:r>
    </w:p>
    <w:p>
      <w:pPr>
        <w:widowControl/>
        <w:spacing w:line="360" w:lineRule="auto"/>
        <w:ind w:firstLine="420" w:firstLineChars="200"/>
        <w:rPr>
          <w:rFonts w:hint="default" w:ascii="Times New Roman" w:hAnsi="Times New Roman" w:cs="Times New Roman"/>
          <w:color w:val="auto"/>
          <w:kern w:val="0"/>
          <w:szCs w:val="20"/>
          <w:highlight w:val="none"/>
        </w:rPr>
      </w:pPr>
      <w:r>
        <w:rPr>
          <w:rFonts w:hint="default" w:ascii="Times New Roman" w:hAnsi="Times New Roman" w:cs="Times New Roman"/>
          <w:color w:val="auto"/>
          <w:highlight w:val="none"/>
        </w:rPr>
        <w:t>1）铁心应选用全新的优质冷轧晶粒取向硅钢片，其工频（50Hz）性能应优于以下指标：比总损耗应在</w:t>
      </w:r>
      <w:r>
        <w:rPr>
          <w:rFonts w:hint="default" w:ascii="Times New Roman" w:hAnsi="Times New Roman" w:cs="Times New Roman"/>
          <w:color w:val="auto"/>
          <w:highlight w:val="none"/>
          <w:lang w:val="en-US" w:eastAsia="zh-CN"/>
        </w:rPr>
        <w:t>0.85</w:t>
      </w:r>
      <w:r>
        <w:rPr>
          <w:rFonts w:hint="default" w:ascii="Times New Roman" w:hAnsi="Times New Roman" w:cs="Times New Roman"/>
          <w:color w:val="auto"/>
          <w:highlight w:val="none"/>
        </w:rPr>
        <w:t>W/kg（P1.7）及以下，磁极化强度应在1.88T（H=800A/m）及以上，公称厚度应在0.23mm及以下。</w:t>
      </w:r>
    </w:p>
    <w:p>
      <w:pPr>
        <w:widowControl/>
        <w:spacing w:line="360" w:lineRule="auto"/>
        <w:ind w:firstLine="420" w:firstLineChars="200"/>
        <w:rPr>
          <w:rFonts w:hint="default" w:ascii="Times New Roman" w:hAnsi="Times New Roman" w:cs="Times New Roman"/>
          <w:color w:val="auto"/>
          <w:kern w:val="0"/>
          <w:szCs w:val="20"/>
          <w:highlight w:val="none"/>
        </w:rPr>
      </w:pPr>
      <w:r>
        <w:rPr>
          <w:rFonts w:hint="default" w:ascii="Times New Roman" w:hAnsi="Times New Roman" w:cs="Times New Roman"/>
          <w:color w:val="auto"/>
          <w:highlight w:val="none"/>
        </w:rPr>
        <w:t>2）</w:t>
      </w:r>
      <w:r>
        <w:rPr>
          <w:rFonts w:hint="default" w:ascii="Times New Roman" w:hAnsi="Times New Roman" w:cs="Times New Roman"/>
          <w:color w:val="auto"/>
          <w:szCs w:val="20"/>
          <w:highlight w:val="none"/>
        </w:rPr>
        <w:t>铁心可采用叠铁心或卷铁心结构形式，宜优先选用卷铁心</w:t>
      </w:r>
      <w:r>
        <w:rPr>
          <w:rFonts w:hint="default" w:ascii="Times New Roman" w:hAnsi="Times New Roman" w:cs="Times New Roman"/>
          <w:color w:val="auto"/>
          <w:highlight w:val="none"/>
        </w:rPr>
        <w:t>。</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3）整个铁心组件均衡严紧，不应由于运输和运行中的振动而松动。</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绕组</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1）对于铜绕组，应采用优质(无氧)铜导线（或铜箔），电阻率（20℃）应不大于</w:t>
      </w:r>
      <w:r>
        <w:rPr>
          <w:rFonts w:hint="default" w:ascii="Times New Roman" w:hAnsi="Times New Roman" w:cs="Times New Roman"/>
          <w:color w:val="auto"/>
          <w:szCs w:val="21"/>
          <w:highlight w:val="none"/>
        </w:rPr>
        <w:t>0.017241Ω.mm</w:t>
      </w:r>
      <w:r>
        <w:rPr>
          <w:rFonts w:hint="default" w:ascii="Times New Roman" w:hAnsi="Times New Roman" w:cs="Times New Roman"/>
          <w:color w:val="auto"/>
          <w:szCs w:val="21"/>
          <w:highlight w:val="none"/>
          <w:vertAlign w:val="superscript"/>
        </w:rPr>
        <w:t>2</w:t>
      </w:r>
      <w:r>
        <w:rPr>
          <w:rFonts w:hint="default" w:ascii="Times New Roman" w:hAnsi="Times New Roman" w:cs="Times New Roman"/>
          <w:color w:val="auto"/>
          <w:szCs w:val="21"/>
          <w:highlight w:val="none"/>
        </w:rPr>
        <w:t>/m</w:t>
      </w:r>
      <w:r>
        <w:rPr>
          <w:rFonts w:hint="default" w:ascii="Times New Roman" w:hAnsi="Times New Roman" w:cs="Times New Roman"/>
          <w:color w:val="auto"/>
          <w:highlight w:val="none"/>
        </w:rPr>
        <w:t>。宜</w:t>
      </w:r>
      <w:r>
        <w:rPr>
          <w:rFonts w:hint="default" w:ascii="Times New Roman" w:hAnsi="Times New Roman" w:cs="Times New Roman"/>
          <w:color w:val="auto"/>
          <w:szCs w:val="20"/>
          <w:highlight w:val="none"/>
        </w:rPr>
        <w:t>优先</w:t>
      </w:r>
      <w:r>
        <w:rPr>
          <w:rFonts w:hint="default" w:ascii="Times New Roman" w:hAnsi="Times New Roman" w:cs="Times New Roman"/>
          <w:color w:val="auto"/>
          <w:highlight w:val="none"/>
        </w:rPr>
        <w:t>采用圆形同心式线圈。</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2）绕组设计应使电流和温度沿绕组均匀分布，绕组应能承受短路、过载和过电压而不发生局部过热，并应消除绕组中的电场集中现象，局部放电水平应满足有关标准。</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3）变压器各绕组应有相应的接线端子标志，所有标志应牢固且耐腐蚀。</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4）</w:t>
      </w:r>
      <w:r>
        <w:rPr>
          <w:rFonts w:hint="default" w:ascii="Times New Roman" w:hAnsi="Times New Roman" w:cs="Times New Roman"/>
          <w:color w:val="auto"/>
          <w:highlight w:val="none"/>
          <w:lang w:val="en-US" w:eastAsia="zh-CN"/>
        </w:rPr>
        <w:t>变压器</w:t>
      </w:r>
      <w:r>
        <w:rPr>
          <w:rFonts w:hint="default" w:ascii="Times New Roman" w:hAnsi="Times New Roman" w:cs="Times New Roman"/>
          <w:color w:val="auto"/>
          <w:highlight w:val="none"/>
        </w:rPr>
        <w:t>易见位置应有符合行业标准要求的“高压危险”标志</w:t>
      </w:r>
      <w:r>
        <w:rPr>
          <w:rFonts w:hint="default" w:ascii="Times New Roman" w:hAnsi="Times New Roman" w:cs="Times New Roman"/>
          <w:color w:val="auto"/>
          <w:highlight w:val="none"/>
          <w:lang w:eastAsia="zh-CN"/>
        </w:rPr>
        <w:t>，且不易脱落</w:t>
      </w:r>
      <w:r>
        <w:rPr>
          <w:rFonts w:hint="default" w:ascii="Times New Roman" w:hAnsi="Times New Roman" w:cs="Times New Roman"/>
          <w:color w:val="auto"/>
          <w:highlight w:val="none"/>
        </w:rPr>
        <w:t>。</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外壳</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1）变压器外壳采用组合式</w:t>
      </w:r>
      <w:r>
        <w:rPr>
          <w:rFonts w:hint="default" w:ascii="Times New Roman" w:hAnsi="Times New Roman" w:cs="Times New Roman"/>
          <w:color w:val="auto"/>
          <w:highlight w:val="none"/>
          <w:lang w:eastAsia="zh-CN"/>
        </w:rPr>
        <w:t>，有独立且与器身隔离的进出线电缆或母排接口位置</w:t>
      </w:r>
      <w:r>
        <w:rPr>
          <w:rFonts w:hint="default" w:ascii="Times New Roman" w:hAnsi="Times New Roman" w:cs="Times New Roman"/>
          <w:color w:val="auto"/>
          <w:highlight w:val="none"/>
        </w:rPr>
        <w:t>。</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2）变压器加装保护外壳后，不应降容，并保证温升不超标。</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对带防护外壳的变压器，如果外壳设计有开门结构，外壳的门应高、低压侧分别设置并加标志，要求外壳的门应有防误入装置。外壳应重量轻、安装拆卸方便。上有出风孔，下有通风百叶或网孔，保证通风良好。</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4）外壳及外壳门必须有效接地，变压器和金属件均有可靠接地，接地装置有防锈镀层，并有明显标识，铁心和全部金属件均有防锈保护层。</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5）变压器外壳选用易于安装、维护的铝合金材料（或者其他优质非导磁材料），</w:t>
      </w:r>
      <w:r>
        <w:rPr>
          <w:rFonts w:hint="default" w:ascii="Times New Roman" w:hAnsi="Times New Roman" w:cs="Times New Roman"/>
          <w:color w:val="auto"/>
          <w:szCs w:val="21"/>
          <w:highlight w:val="none"/>
        </w:rPr>
        <w:t>厚度不低于1.2mm</w:t>
      </w:r>
      <w:r>
        <w:rPr>
          <w:rFonts w:hint="default" w:ascii="Times New Roman" w:hAnsi="Times New Roman" w:cs="Times New Roman"/>
          <w:color w:val="auto"/>
          <w:highlight w:val="none"/>
        </w:rPr>
        <w:t>。</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6）对带防护外壳的变压器，如果外壳设计有开门结构，门要求加装机械锁或电磁锁，在变压器带电时不允许打开变压器门，并装有行程开关，对变压器运行状态下，预留强行开门跳主变压器高压侧开关的联锁节点。</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7）变压器柜体高低压两侧均可采用上部和下部进线方式，并在外壳进线部位预留进线口；对下部进线应配有电缆支架，用于固定进线电缆。</w:t>
      </w:r>
    </w:p>
    <w:p>
      <w:pPr>
        <w:widowControl/>
        <w:spacing w:line="360" w:lineRule="auto"/>
        <w:ind w:firstLine="420" w:firstLineChars="200"/>
        <w:rPr>
          <w:rFonts w:hint="default" w:ascii="Times New Roman" w:hAnsi="Times New Roman" w:eastAsia="宋体" w:cs="Times New Roman"/>
          <w:color w:val="auto"/>
          <w:highlight w:val="none"/>
          <w:lang w:eastAsia="zh-CN"/>
        </w:rPr>
      </w:pPr>
      <w:r>
        <w:rPr>
          <w:rFonts w:hint="default" w:ascii="Times New Roman" w:hAnsi="Times New Roman" w:cs="Times New Roman"/>
          <w:color w:val="auto"/>
          <w:highlight w:val="none"/>
          <w:lang w:val="en-US" w:eastAsia="zh-CN"/>
        </w:rPr>
        <w:t>8）</w:t>
      </w:r>
      <w:r>
        <w:rPr>
          <w:rFonts w:hint="default" w:ascii="Times New Roman" w:hAnsi="Times New Roman" w:cs="Times New Roman"/>
          <w:color w:val="auto"/>
          <w:highlight w:val="none"/>
        </w:rPr>
        <w:t>对带防护外壳的变压器，壳体的外部设置有承受变压器总重的起吊装置和叉车运输装置</w:t>
      </w:r>
      <w:r>
        <w:rPr>
          <w:rFonts w:hint="default" w:ascii="Times New Roman" w:hAnsi="Times New Roman" w:cs="Times New Roman"/>
          <w:color w:val="auto"/>
          <w:highlight w:val="none"/>
          <w:lang w:eastAsia="zh-CN"/>
        </w:rPr>
        <w:t>。</w:t>
      </w:r>
    </w:p>
    <w:p>
      <w:pPr>
        <w:pStyle w:val="36"/>
        <w:spacing w:line="360" w:lineRule="auto"/>
        <w:outlineLvl w:val="9"/>
        <w:rPr>
          <w:rFonts w:hint="default" w:ascii="Times New Roman" w:hAnsi="Times New Roman" w:eastAsia="宋体"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.4</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监测、报警和跳闸接点</w:t>
      </w:r>
    </w:p>
    <w:p>
      <w:pPr>
        <w:pStyle w:val="35"/>
        <w:spacing w:line="360" w:lineRule="auto"/>
        <w:ind w:firstLine="420" w:firstLineChars="200"/>
        <w:outlineLvl w:val="9"/>
        <w:rPr>
          <w:rFonts w:hint="default" w:ascii="Times New Roman" w:hAnsi="Times New Roman" w:eastAsia="宋体" w:cs="Times New Roman"/>
          <w:b w:val="0"/>
          <w:bCs w:val="0"/>
          <w:color w:val="auto"/>
          <w:highlight w:val="none"/>
        </w:rPr>
      </w:pPr>
      <w:r>
        <w:rPr>
          <w:rFonts w:hint="default" w:ascii="Times New Roman" w:hAnsi="Times New Roman" w:eastAsia="宋体" w:cs="Times New Roman"/>
          <w:b w:val="0"/>
          <w:color w:val="auto"/>
          <w:highlight w:val="none"/>
        </w:rPr>
        <w:t>1）干式变压器应装设数字显示式状态量监测装置（电压电源AC 220V）。状态量监测装置应能监测变压器运行温度，巡回显示各相绕组的温度值，并显示最热相的温度，还应具备测温报警、跳闸接点、仪表故障自检、温度传感器故障报警等功</w:t>
      </w:r>
      <w:r>
        <w:rPr>
          <w:rFonts w:hint="default" w:ascii="Times New Roman" w:hAnsi="Times New Roman" w:eastAsia="宋体" w:cs="Times New Roman"/>
          <w:b w:val="0"/>
          <w:bCs w:val="0"/>
          <w:color w:val="auto"/>
          <w:highlight w:val="none"/>
        </w:rPr>
        <w:t>能；并配置遥信、遥测功能。若有风机，则状态量监测装置应有启、停，风机过载保护功能。</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2）温度传感器应预埋在低压绕组上部第2～5层位置。</w:t>
      </w:r>
    </w:p>
    <w:p>
      <w:pPr>
        <w:pStyle w:val="29"/>
        <w:spacing w:line="360" w:lineRule="auto"/>
        <w:ind w:firstLine="420"/>
        <w:rPr>
          <w:rFonts w:hint="default" w:ascii="Times New Roman" w:hAnsi="Times New Roman" w:cs="Times New Roman"/>
          <w:color w:val="auto"/>
          <w:highlight w:val="none"/>
          <w:lang w:eastAsia="zh-CN"/>
        </w:rPr>
      </w:pPr>
      <w:r>
        <w:rPr>
          <w:rFonts w:hint="default" w:ascii="Times New Roman" w:hAnsi="Times New Roman" w:cs="Times New Roman"/>
          <w:color w:val="auto"/>
          <w:highlight w:val="none"/>
        </w:rPr>
        <w:t>3）状态量监测装置的温度阀值可调，其阀值设置如表5.4所示</w:t>
      </w:r>
      <w:r>
        <w:rPr>
          <w:rFonts w:hint="default" w:ascii="Times New Roman" w:hAnsi="Times New Roman" w:cs="Times New Roman"/>
          <w:color w:val="auto"/>
          <w:highlight w:val="none"/>
          <w:lang w:eastAsia="zh-CN"/>
        </w:rPr>
        <w:t>。</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4）</w:t>
      </w:r>
      <w:r>
        <w:rPr>
          <w:rFonts w:hint="default" w:ascii="Times New Roman" w:hAnsi="Times New Roman" w:cs="Times New Roman"/>
          <w:color w:val="auto"/>
          <w:highlight w:val="none"/>
          <w:lang w:eastAsia="zh-CN"/>
        </w:rPr>
        <w:t>数据显示方式：相位显示及4位温度显示</w:t>
      </w:r>
      <w:r>
        <w:rPr>
          <w:rFonts w:hint="default" w:ascii="Times New Roman" w:hAnsi="Times New Roman" w:cs="Times New Roman"/>
          <w:color w:val="auto"/>
          <w:highlight w:val="none"/>
        </w:rPr>
        <w:t>。</w:t>
      </w:r>
    </w:p>
    <w:p>
      <w:pPr>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表5.4  温度阀值的设定</w:t>
      </w:r>
    </w:p>
    <w:tbl>
      <w:tblPr>
        <w:tblStyle w:val="19"/>
        <w:tblW w:w="44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48"/>
        <w:gridCol w:w="1028"/>
        <w:gridCol w:w="10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234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项  目</w:t>
            </w:r>
          </w:p>
        </w:tc>
        <w:tc>
          <w:tcPr>
            <w:tcW w:w="102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SCB系列</w:t>
            </w:r>
          </w:p>
        </w:tc>
        <w:tc>
          <w:tcPr>
            <w:tcW w:w="1039"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SGB系列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234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风机启动温度（℃）</w:t>
            </w:r>
          </w:p>
        </w:tc>
        <w:tc>
          <w:tcPr>
            <w:tcW w:w="102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80</w:t>
            </w:r>
          </w:p>
        </w:tc>
        <w:tc>
          <w:tcPr>
            <w:tcW w:w="1039"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234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风机停止运行温度（℃）</w:t>
            </w:r>
          </w:p>
        </w:tc>
        <w:tc>
          <w:tcPr>
            <w:tcW w:w="102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70</w:t>
            </w:r>
          </w:p>
        </w:tc>
        <w:tc>
          <w:tcPr>
            <w:tcW w:w="1039"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234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超温报警温度（℃）</w:t>
            </w:r>
          </w:p>
        </w:tc>
        <w:tc>
          <w:tcPr>
            <w:tcW w:w="102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130</w:t>
            </w:r>
          </w:p>
        </w:tc>
        <w:tc>
          <w:tcPr>
            <w:tcW w:w="1039"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234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超高温跳闸温度（℃）</w:t>
            </w:r>
          </w:p>
        </w:tc>
        <w:tc>
          <w:tcPr>
            <w:tcW w:w="1028"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150</w:t>
            </w:r>
          </w:p>
        </w:tc>
        <w:tc>
          <w:tcPr>
            <w:tcW w:w="1039"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170</w:t>
            </w:r>
          </w:p>
        </w:tc>
      </w:tr>
    </w:tbl>
    <w:p>
      <w:pPr>
        <w:pStyle w:val="29"/>
        <w:spacing w:line="360" w:lineRule="auto"/>
        <w:ind w:firstLine="420"/>
        <w:rPr>
          <w:rFonts w:hint="default" w:ascii="Times New Roman" w:hAnsi="Times New Roman" w:cs="Times New Roman"/>
          <w:color w:val="auto"/>
          <w:szCs w:val="22"/>
          <w:highlight w:val="none"/>
        </w:rPr>
      </w:pPr>
      <w:r>
        <w:rPr>
          <w:rFonts w:hint="default" w:ascii="Times New Roman" w:hAnsi="Times New Roman" w:cs="Times New Roman"/>
          <w:color w:val="auto"/>
          <w:szCs w:val="22"/>
          <w:highlight w:val="none"/>
          <w:lang w:val="en-US" w:eastAsia="zh-CN"/>
        </w:rPr>
        <w:t>5</w:t>
      </w:r>
      <w:r>
        <w:rPr>
          <w:rFonts w:hint="default" w:ascii="Times New Roman" w:hAnsi="Times New Roman" w:cs="Times New Roman"/>
          <w:color w:val="auto"/>
          <w:szCs w:val="22"/>
          <w:highlight w:val="none"/>
        </w:rPr>
        <w:t>）对于不带外壳的变压器，状态量监测装置应安装在上夹件靠左（面向低压侧）；对于带外壳的变压器，状态量监测装置应与铭牌安装在变压器低压侧的外壳开门侧的外壳上。控制箱（若有）应装在干变外壳开门侧的外壳上。</w:t>
      </w:r>
    </w:p>
    <w:p>
      <w:pPr>
        <w:pStyle w:val="29"/>
        <w:spacing w:line="360" w:lineRule="auto"/>
        <w:ind w:firstLine="420"/>
        <w:rPr>
          <w:rFonts w:hint="default" w:ascii="Times New Roman" w:hAnsi="Times New Roman" w:cs="Times New Roman"/>
          <w:b/>
          <w:color w:val="auto"/>
          <w:highlight w:val="none"/>
        </w:rPr>
      </w:pPr>
      <w:r>
        <w:rPr>
          <w:rFonts w:hint="default" w:ascii="Times New Roman" w:hAnsi="Times New Roman" w:cs="Times New Roman"/>
          <w:color w:val="auto"/>
          <w:szCs w:val="22"/>
          <w:highlight w:val="none"/>
          <w:lang w:val="en-US" w:eastAsia="zh-CN"/>
        </w:rPr>
        <w:t>6</w:t>
      </w:r>
      <w:r>
        <w:rPr>
          <w:rFonts w:hint="default" w:ascii="Times New Roman" w:hAnsi="Times New Roman" w:cs="Times New Roman"/>
          <w:color w:val="auto"/>
          <w:szCs w:val="22"/>
          <w:highlight w:val="none"/>
        </w:rPr>
        <w:t>）状态量监测装置应符合《中国南方电网有限责任公司干式变压器状态量监测装置技术规范书》要求。</w:t>
      </w:r>
    </w:p>
    <w:p>
      <w:pPr>
        <w:pStyle w:val="36"/>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 xml:space="preserve">.5 </w:t>
      </w:r>
      <w:r>
        <w:rPr>
          <w:rFonts w:hint="default" w:ascii="Times New Roman" w:hAnsi="Times New Roman" w:eastAsia="黑体" w:cs="Times New Roman"/>
          <w:color w:val="auto"/>
          <w:highlight w:val="none"/>
        </w:rPr>
        <w:t>接地</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1）变压器铁心和金属件均应可靠接地（铁轭螺杆除外）和防腐蚀的保护层。接地装置应有防锈镀层，并附有明显的接地标志。</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2）中性点至接地螺栓采用铜排TMY-</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0×</w:t>
      </w: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，并对铜排刷反光油漆，反光油漆颜色选用黄色和绿色，涂色间隔为150mm，如下图5.1所示，该接地铜排及螺栓由变压器厂家加工制作。</w:t>
      </w:r>
    </w:p>
    <w:p>
      <w:pPr>
        <w:pStyle w:val="29"/>
        <w:spacing w:line="360" w:lineRule="auto"/>
        <w:ind w:firstLine="199" w:firstLineChars="95"/>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2828290</wp:posOffset>
                </wp:positionH>
                <wp:positionV relativeFrom="paragraph">
                  <wp:posOffset>75565</wp:posOffset>
                </wp:positionV>
                <wp:extent cx="941705" cy="292735"/>
                <wp:effectExtent l="4445" t="5080" r="6350" b="6985"/>
                <wp:wrapNone/>
                <wp:docPr id="4" name="文本框 4"/>
                <wp:cNvGraphicFramePr/>
                <a:graphic xmlns:a="http://schemas.openxmlformats.org/drawingml/2006/main">
                  <a:graphicData uri="http://schemas.microsoft.com/office/word/2010/wordprocessingShape">
                    <wps:wsp>
                      <wps:cNvSpPr txBox="1"/>
                      <wps:spPr>
                        <a:xfrm>
                          <a:off x="0" y="0"/>
                          <a:ext cx="941705" cy="292735"/>
                        </a:xfrm>
                        <a:prstGeom prst="rect">
                          <a:avLst/>
                        </a:prstGeom>
                        <a:solidFill>
                          <a:srgbClr val="FFFFFF"/>
                        </a:solidFill>
                        <a:ln w="9525">
                          <a:solidFill>
                            <a:schemeClr val="bg1"/>
                          </a:solidFill>
                        </a:ln>
                      </wps:spPr>
                      <wps:txbx>
                        <w:txbxContent>
                          <w:p>
                            <w:r>
                              <w:rPr>
                                <w:rFonts w:hint="eastAsia"/>
                              </w:rPr>
                              <w:t>TMY-60*6</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222.7pt;margin-top:5.95pt;height:23.05pt;width:74.15pt;z-index:251660288;mso-width-relative:page;mso-height-relative:margin;mso-height-percent:200;" fillcolor="#FFFFFF" filled="t" stroked="t" coordsize="21600,21600" o:gfxdata="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pwJXfaAAAACQEA&#10;AA8AAAAAAAAAAQAgAAAAIgAAAGRycy9kb3ducmV2LnhtbFBLAQIUABQAAAAIAIdO4kBkrb/k3wEA&#10;ANADAAAOAAAAAAAAAAEAIAAAACkBAABkcnMvZTJvRG9jLnhtbFBLBQYAAAAABgAGAFkBAAB6BQAA&#10;AAA=&#10;">
                <v:fill on="t" focussize="0,0"/>
                <v:stroke color="#FFFFFF [3212]" joinstyle="round"/>
                <v:imagedata o:title=""/>
                <o:lock v:ext="edit" aspectratio="f"/>
                <v:textbox style="mso-fit-shape-to-text:t;">
                  <w:txbxContent>
                    <w:p>
                      <w:r>
                        <w:rPr>
                          <w:rFonts w:hint="eastAsia"/>
                        </w:rPr>
                        <w:t>TMY-60*6</w:t>
                      </w:r>
                    </w:p>
                  </w:txbxContent>
                </v:textbox>
              </v:shape>
            </w:pict>
          </mc:Fallback>
        </mc:AlternateContent>
      </w:r>
      <w:r>
        <w:rPr>
          <w:rFonts w:hint="default" w:ascii="Times New Roman" w:hAnsi="Times New Roman" w:cs="Times New Roman"/>
          <w:sz w:val="21"/>
        </w:rPr>
        <mc:AlternateContent>
          <mc:Choice Requires="wps">
            <w:drawing>
              <wp:anchor distT="0" distB="0" distL="114300" distR="114300" simplePos="0" relativeHeight="251663360" behindDoc="0" locked="0" layoutInCell="1" allowOverlap="1">
                <wp:simplePos x="0" y="0"/>
                <wp:positionH relativeFrom="column">
                  <wp:posOffset>10160</wp:posOffset>
                </wp:positionH>
                <wp:positionV relativeFrom="paragraph">
                  <wp:posOffset>161925</wp:posOffset>
                </wp:positionV>
                <wp:extent cx="2467610" cy="268605"/>
                <wp:effectExtent l="0" t="0" r="8890" b="17145"/>
                <wp:wrapNone/>
                <wp:docPr id="9" name="矩形 9"/>
                <wp:cNvGraphicFramePr/>
                <a:graphic xmlns:a="http://schemas.openxmlformats.org/drawingml/2006/main">
                  <a:graphicData uri="http://schemas.microsoft.com/office/word/2010/wordprocessingShape">
                    <wps:wsp>
                      <wps:cNvSpPr/>
                      <wps:spPr>
                        <a:xfrm>
                          <a:off x="1140460" y="3491865"/>
                          <a:ext cx="2467610" cy="2686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8pt;margin-top:12.75pt;height:21.15pt;width:194.3pt;z-index:251663360;v-text-anchor:middle;mso-width-relative:page;mso-height-relative:page;" fillcolor="#FFFFFF [3212]" filled="t" stroked="f" coordsize="21600,21600" o:gfxdata="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gMTY9cAAAAHAQAADwAAAAAAAAABACAAAAAiAAAAZHJz&#10;L2Rvd25yZXYueG1sUEsBAhQAFAAAAAgAh07iQNSaHTF3AgAA1wQAAA4AAAAAAAAAAQAgAAAAJgEA&#10;AGRycy9lMm9Eb2MueG1sUEsFBgAAAAAGAAYAWQEAAA8GAAAAAA==&#10;">
                <v:fill on="t" focussize="0,0"/>
                <v:stroke on="f" weight="1pt" miterlimit="8" joinstyle="miter"/>
                <v:imagedata o:title=""/>
                <o:lock v:ext="edit" aspectratio="f"/>
              </v:rect>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135255</wp:posOffset>
                </wp:positionH>
                <wp:positionV relativeFrom="paragraph">
                  <wp:posOffset>256540</wp:posOffset>
                </wp:positionV>
                <wp:extent cx="2033905" cy="0"/>
                <wp:effectExtent l="0" t="0" r="0" b="0"/>
                <wp:wrapNone/>
                <wp:docPr id="5" name="直接箭头连接符 5"/>
                <wp:cNvGraphicFramePr/>
                <a:graphic xmlns:a="http://schemas.openxmlformats.org/drawingml/2006/main">
                  <a:graphicData uri="http://schemas.microsoft.com/office/word/2010/wordprocessingShape">
                    <wps:wsp>
                      <wps:cNvCnPr/>
                      <wps:spPr>
                        <a:xfrm flipH="1">
                          <a:off x="0" y="0"/>
                          <a:ext cx="2033905" cy="0"/>
                        </a:xfrm>
                        <a:prstGeom prst="straightConnector1">
                          <a:avLst/>
                        </a:prstGeom>
                        <a:ln w="3175" cap="flat" cmpd="sng">
                          <a:solidFill>
                            <a:srgbClr val="00B0F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5pt;margin-top:20.2pt;height:0pt;width:160.15pt;z-index:251661312;mso-width-relative:page;mso-height-relative:page;" filled="f" stroked="t" coordsize="21600,21600" o:gfxdata="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Fc5xHXAAAACAEAAA8AAAAAAAAAAQAgAAAAIgAAAGRycy9k&#10;b3ducmV2LnhtbFBLAQIUABQAAAAIAIdO4kBR39iTAwIAAPYDAAAOAAAAAAAAAAEAIAAAACYBAABk&#10;cnMvZTJvRG9jLnhtbFBLBQYAAAAABgAGAFkBAACbBQAAAAA=&#10;">
                <v:fill on="f" focussize="0,0"/>
                <v:stroke weight="0.25pt" color="#00B0F0" joinstyle="round"/>
                <v:imagedata o:title=""/>
                <o:lock v:ext="edit" aspectratio="f"/>
              </v:shape>
            </w:pict>
          </mc:Fallback>
        </mc:AlternateContent>
      </w:r>
      <w:r>
        <w:rPr>
          <w:rFonts w:hint="default" w:ascii="Times New Roman" w:hAnsi="Times New Roman"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2169160</wp:posOffset>
                </wp:positionH>
                <wp:positionV relativeFrom="paragraph">
                  <wp:posOffset>256540</wp:posOffset>
                </wp:positionV>
                <wp:extent cx="233680" cy="168275"/>
                <wp:effectExtent l="2540" t="3810" r="11430" b="18415"/>
                <wp:wrapNone/>
                <wp:docPr id="6" name="直接箭头连接符 6"/>
                <wp:cNvGraphicFramePr/>
                <a:graphic xmlns:a="http://schemas.openxmlformats.org/drawingml/2006/main">
                  <a:graphicData uri="http://schemas.microsoft.com/office/word/2010/wordprocessingShape">
                    <wps:wsp>
                      <wps:cNvCnPr/>
                      <wps:spPr>
                        <a:xfrm flipH="1" flipV="1">
                          <a:off x="0" y="0"/>
                          <a:ext cx="233680" cy="168275"/>
                        </a:xfrm>
                        <a:prstGeom prst="straightConnector1">
                          <a:avLst/>
                        </a:prstGeom>
                        <a:ln w="3175" cap="flat" cmpd="sng">
                          <a:solidFill>
                            <a:srgbClr val="00B0F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 y;margin-left:170.8pt;margin-top:20.2pt;height:13.25pt;width:18.4pt;z-index:251659264;mso-width-relative:page;mso-height-relative:page;" filled="f" stroked="t" coordsize="21600,21600" o:gfxdata="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DQnBz2wAAAAkBAAAPAAAAAAAA&#10;AAEAIAAAACIAAABkcnMvZG93bnJldi54bWxQSwECFAAUAAAACACHTuJAUKjItQ8CAAAEBAAADgAA&#10;AAAAAAABACAAAAAqAQAAZHJzL2Uyb0RvYy54bWxQSwUGAAAAAAYABgBZAQAAqwUAAAAA&#10;">
                <v:fill on="f" focussize="0,0"/>
                <v:stroke weight="0.25pt" color="#00B0F0" joinstyle="round"/>
                <v:imagedata o:title=""/>
                <o:lock v:ext="edit" aspectratio="f"/>
              </v:shape>
            </w:pict>
          </mc:Fallback>
        </mc:AlternateContent>
      </w:r>
      <w:r>
        <w:rPr>
          <w:rFonts w:hint="default" w:ascii="Times New Roman" w:hAnsi="Times New Roman" w:cs="Times New Roman"/>
          <w:color w:val="auto"/>
          <w:highlight w:val="none"/>
        </w:rPr>
        <w:drawing>
          <wp:inline distT="0" distB="0" distL="114300" distR="114300">
            <wp:extent cx="2898775" cy="2732405"/>
            <wp:effectExtent l="0" t="0" r="15875" b="1079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9"/>
                    <a:stretch>
                      <a:fillRect/>
                    </a:stretch>
                  </pic:blipFill>
                  <pic:spPr>
                    <a:xfrm>
                      <a:off x="0" y="0"/>
                      <a:ext cx="2898775" cy="2732405"/>
                    </a:xfrm>
                    <a:prstGeom prst="rect">
                      <a:avLst/>
                    </a:prstGeom>
                    <a:noFill/>
                    <a:ln w="9525">
                      <a:noFill/>
                    </a:ln>
                  </pic:spPr>
                </pic:pic>
              </a:graphicData>
            </a:graphic>
          </wp:inline>
        </w:drawing>
      </w:r>
      <w:r>
        <w:rPr>
          <w:rFonts w:hint="default" w:ascii="Times New Roman" w:hAnsi="Times New Roman" w:cs="Times New Roman"/>
          <w:color w:val="auto"/>
          <w:highlight w:val="none"/>
        </w:rPr>
        <w:drawing>
          <wp:inline distT="0" distB="0" distL="114300" distR="114300">
            <wp:extent cx="1423035" cy="2544445"/>
            <wp:effectExtent l="0" t="0" r="5715" b="825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0"/>
                    <a:stretch>
                      <a:fillRect/>
                    </a:stretch>
                  </pic:blipFill>
                  <pic:spPr>
                    <a:xfrm>
                      <a:off x="0" y="0"/>
                      <a:ext cx="1423035" cy="2544445"/>
                    </a:xfrm>
                    <a:prstGeom prst="rect">
                      <a:avLst/>
                    </a:prstGeom>
                    <a:noFill/>
                    <a:ln w="9525">
                      <a:noFill/>
                    </a:ln>
                  </pic:spPr>
                </pic:pic>
              </a:graphicData>
            </a:graphic>
          </wp:inline>
        </w:drawing>
      </w:r>
    </w:p>
    <w:p>
      <w:pPr>
        <w:pStyle w:val="29"/>
        <w:ind w:firstLine="0" w:firstLineChars="0"/>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图5.1  零线与接地螺栓连接铜排示意图</w:t>
      </w:r>
    </w:p>
    <w:p>
      <w:pPr>
        <w:pStyle w:val="36"/>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rPr>
        <w:t>5.2.2.1</w:t>
      </w:r>
      <w:r>
        <w:rPr>
          <w:rFonts w:hint="default" w:ascii="Times New Roman" w:hAnsi="Times New Roman" w:cs="Times New Roman"/>
          <w:b/>
          <w:bCs/>
          <w:color w:val="auto"/>
          <w:highlight w:val="none"/>
          <w:lang w:val="en-US" w:eastAsia="zh-CN"/>
        </w:rPr>
        <w:t>1</w:t>
      </w:r>
      <w:r>
        <w:rPr>
          <w:rFonts w:hint="default" w:ascii="Times New Roman" w:hAnsi="Times New Roman" w:cs="Times New Roman"/>
          <w:b/>
          <w:bCs/>
          <w:color w:val="auto"/>
          <w:highlight w:val="none"/>
        </w:rPr>
        <w:t>.6</w:t>
      </w:r>
      <w:r>
        <w:rPr>
          <w:rFonts w:hint="default" w:ascii="Times New Roman" w:hAnsi="Times New Roman" w:cs="Times New Roman"/>
          <w:color w:val="auto"/>
          <w:highlight w:val="none"/>
        </w:rPr>
        <w:t xml:space="preserve"> </w:t>
      </w:r>
      <w:r>
        <w:rPr>
          <w:rFonts w:hint="default" w:ascii="Times New Roman" w:hAnsi="Times New Roman" w:eastAsia="黑体" w:cs="Times New Roman"/>
          <w:color w:val="auto"/>
          <w:highlight w:val="none"/>
        </w:rPr>
        <w:t>其他要求</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1）变压器绝缘件应经防潮处理。用于设备上的套管、绝缘子应有足够的机械及电气强度。</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2）配装应急风冷装置的变压器，其风扇应由热保护装置自动控制，且选用低噪声的横流式风扇，并应符合JB/T 8971的要求。对于配装应急风冷装置的变压器，其冷却方式标志代号为AN/AF，但应急风冷装置不启动的情况下亦应能满足正常通风和散热的要求。</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3）要求大部分绝缘材料由不可燃烧的材料构成。800℃高温长期燃烧下只产生少量烟雾。</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4）配装消声减振装置的变压器， 消声减振装置均经热处理及应力消除，抗疲劳性能好，有效避免共振现场；采用抗冲击、耐腐蚀材料，烤漆处理采用不低于变压器本体的工艺，防锈、防盐雾能力满足环境防污秽等级要求。</w:t>
      </w:r>
    </w:p>
    <w:p>
      <w:pPr>
        <w:widowControl/>
        <w:spacing w:line="360" w:lineRule="auto"/>
        <w:ind w:firstLineChars="200"/>
        <w:outlineLvl w:val="9"/>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5.2.2.12防洪涝要求（可选）</w:t>
      </w:r>
    </w:p>
    <w:p>
      <w:pPr>
        <w:widowControl/>
        <w:spacing w:line="360" w:lineRule="auto"/>
        <w:ind w:firstLine="420" w:firstLineChars="200"/>
        <w:outlineLvl w:val="9"/>
        <w:rPr>
          <w:rFonts w:hint="default" w:ascii="Times New Roman" w:hAnsi="Times New Roman" w:cs="Times New Roman"/>
          <w:b w:val="0"/>
          <w:bCs w:val="0"/>
          <w:color w:val="auto"/>
          <w:sz w:val="21"/>
          <w:szCs w:val="24"/>
          <w:highlight w:val="none"/>
          <w:lang w:val="en-US" w:eastAsia="zh-CN"/>
        </w:rPr>
      </w:pPr>
      <w:r>
        <w:rPr>
          <w:rFonts w:hint="default" w:ascii="Times New Roman" w:hAnsi="Times New Roman" w:cs="Times New Roman"/>
          <w:color w:val="auto"/>
          <w:highlight w:val="none"/>
          <w:lang w:val="en-US" w:eastAsia="zh-CN"/>
        </w:rPr>
        <w:t>1）对于</w:t>
      </w:r>
      <w:r>
        <w:rPr>
          <w:rFonts w:hint="default" w:ascii="Times New Roman" w:hAnsi="Times New Roman" w:cs="Times New Roman"/>
          <w:b w:val="0"/>
          <w:bCs w:val="0"/>
          <w:color w:val="auto"/>
          <w:sz w:val="21"/>
          <w:szCs w:val="24"/>
          <w:highlight w:val="none"/>
          <w:lang w:val="en-US" w:eastAsia="zh-CN"/>
        </w:rPr>
        <w:t>洪涝区、有水浸历史或低洼配电房有</w:t>
      </w:r>
      <w:r>
        <w:rPr>
          <w:rFonts w:hint="default" w:ascii="Times New Roman" w:hAnsi="Times New Roman" w:eastAsia="宋体" w:cs="Times New Roman"/>
          <w:b w:val="0"/>
          <w:bCs w:val="0"/>
          <w:color w:val="auto"/>
          <w:sz w:val="21"/>
          <w:szCs w:val="24"/>
          <w:highlight w:val="none"/>
          <w:lang w:val="en-US" w:eastAsia="zh-CN"/>
        </w:rPr>
        <w:t>长期浸水要求</w:t>
      </w:r>
      <w:r>
        <w:rPr>
          <w:rFonts w:hint="default" w:ascii="Times New Roman" w:hAnsi="Times New Roman" w:cs="Times New Roman"/>
          <w:b w:val="0"/>
          <w:bCs w:val="0"/>
          <w:color w:val="auto"/>
          <w:sz w:val="21"/>
          <w:szCs w:val="24"/>
          <w:highlight w:val="none"/>
          <w:lang w:val="en-US" w:eastAsia="zh-CN"/>
        </w:rPr>
        <w:t>的配电变压器宜采用SGB型干变；</w:t>
      </w:r>
      <w:r>
        <w:rPr>
          <w:rFonts w:hint="default" w:ascii="Times New Roman" w:hAnsi="Times New Roman" w:cs="Times New Roman"/>
          <w:color w:val="auto"/>
          <w:highlight w:val="none"/>
          <w:lang w:val="en-US" w:eastAsia="zh-CN"/>
        </w:rPr>
        <w:t>对于</w:t>
      </w:r>
      <w:r>
        <w:rPr>
          <w:rFonts w:hint="default" w:ascii="Times New Roman" w:hAnsi="Times New Roman" w:cs="Times New Roman"/>
          <w:b w:val="0"/>
          <w:bCs w:val="0"/>
          <w:color w:val="auto"/>
          <w:sz w:val="21"/>
          <w:szCs w:val="24"/>
          <w:highlight w:val="none"/>
          <w:lang w:val="en-US" w:eastAsia="zh-CN"/>
        </w:rPr>
        <w:t>洪涝区、有水浸历史或低洼配电房有</w:t>
      </w:r>
      <w:r>
        <w:rPr>
          <w:rFonts w:hint="default" w:ascii="Times New Roman" w:hAnsi="Times New Roman" w:eastAsia="宋体" w:cs="Times New Roman"/>
          <w:b w:val="0"/>
          <w:bCs w:val="0"/>
          <w:color w:val="auto"/>
          <w:sz w:val="21"/>
          <w:szCs w:val="24"/>
          <w:highlight w:val="none"/>
          <w:lang w:val="en-US" w:eastAsia="zh-CN"/>
        </w:rPr>
        <w:t>长期浸水</w:t>
      </w:r>
      <w:r>
        <w:rPr>
          <w:rFonts w:hint="default" w:ascii="Times New Roman" w:hAnsi="Times New Roman" w:cs="Times New Roman"/>
          <w:b w:val="0"/>
          <w:bCs w:val="0"/>
          <w:color w:val="auto"/>
          <w:sz w:val="21"/>
          <w:szCs w:val="24"/>
          <w:highlight w:val="none"/>
          <w:lang w:val="en-US" w:eastAsia="zh-CN"/>
        </w:rPr>
        <w:t>运行</w:t>
      </w:r>
      <w:r>
        <w:rPr>
          <w:rFonts w:hint="default" w:ascii="Times New Roman" w:hAnsi="Times New Roman" w:eastAsia="宋体" w:cs="Times New Roman"/>
          <w:b w:val="0"/>
          <w:bCs w:val="0"/>
          <w:color w:val="auto"/>
          <w:sz w:val="21"/>
          <w:szCs w:val="24"/>
          <w:highlight w:val="none"/>
          <w:lang w:val="en-US" w:eastAsia="zh-CN"/>
        </w:rPr>
        <w:t>要求</w:t>
      </w:r>
      <w:r>
        <w:rPr>
          <w:rFonts w:hint="default" w:ascii="Times New Roman" w:hAnsi="Times New Roman" w:cs="Times New Roman"/>
          <w:b w:val="0"/>
          <w:bCs w:val="0"/>
          <w:color w:val="auto"/>
          <w:sz w:val="21"/>
          <w:szCs w:val="24"/>
          <w:highlight w:val="none"/>
          <w:lang w:val="en-US" w:eastAsia="zh-CN"/>
        </w:rPr>
        <w:t>的配电变压器宜防水外壳；</w:t>
      </w:r>
    </w:p>
    <w:p>
      <w:pPr>
        <w:widowControl/>
        <w:spacing w:line="360" w:lineRule="auto"/>
        <w:ind w:firstLine="420" w:firstLineChars="200"/>
        <w:outlineLvl w:val="9"/>
        <w:rPr>
          <w:rFonts w:hint="default" w:ascii="Times New Roman" w:hAnsi="Times New Roman" w:cs="Times New Roman"/>
          <w:color w:val="auto"/>
          <w:highlight w:val="none"/>
          <w:lang w:val="en-US" w:eastAsia="zh-CN"/>
        </w:rPr>
      </w:pPr>
      <w:r>
        <w:rPr>
          <w:rFonts w:hint="default" w:ascii="Times New Roman" w:hAnsi="Times New Roman" w:cs="Times New Roman"/>
          <w:b w:val="0"/>
          <w:bCs w:val="0"/>
          <w:color w:val="auto"/>
          <w:sz w:val="21"/>
          <w:szCs w:val="24"/>
          <w:highlight w:val="none"/>
          <w:lang w:val="en-US" w:eastAsia="zh-CN"/>
        </w:rPr>
        <w:t>2）</w:t>
      </w:r>
      <w:r>
        <w:rPr>
          <w:rFonts w:hint="default" w:ascii="Times New Roman" w:hAnsi="Times New Roman" w:cs="Times New Roman"/>
          <w:color w:val="auto"/>
          <w:highlight w:val="none"/>
          <w:lang w:val="en-US" w:eastAsia="zh-CN"/>
        </w:rPr>
        <w:t>防水</w:t>
      </w:r>
      <w:r>
        <w:rPr>
          <w:rFonts w:hint="default" w:ascii="Times New Roman" w:hAnsi="Times New Roman" w:eastAsia="宋体" w:cs="Times New Roman"/>
          <w:color w:val="auto"/>
          <w:highlight w:val="none"/>
          <w:lang w:val="en-US" w:eastAsia="zh-CN"/>
        </w:rPr>
        <w:t>外壳防护等级应达到IP68要求；</w:t>
      </w:r>
    </w:p>
    <w:p>
      <w:pPr>
        <w:widowControl/>
        <w:spacing w:line="360" w:lineRule="auto"/>
        <w:ind w:firstLine="420" w:firstLineChars="200"/>
        <w:outlineLvl w:val="9"/>
        <w:rPr>
          <w:rFonts w:hint="default" w:ascii="Times New Roman" w:hAnsi="Times New Roman" w:eastAsia="宋体" w:cs="Times New Roman"/>
          <w:b w:val="0"/>
          <w:bCs w:val="0"/>
          <w:color w:val="auto"/>
          <w:highlight w:val="none"/>
          <w:lang w:val="en-US" w:eastAsia="zh-CN"/>
        </w:rPr>
      </w:pPr>
      <w:r>
        <w:rPr>
          <w:rFonts w:hint="default" w:ascii="Times New Roman" w:hAnsi="Times New Roman" w:cs="Times New Roman"/>
          <w:color w:val="auto"/>
          <w:highlight w:val="none"/>
          <w:lang w:val="en-US" w:eastAsia="zh-CN"/>
        </w:rPr>
        <w:t>3）带外壳</w:t>
      </w:r>
      <w:r>
        <w:rPr>
          <w:rFonts w:hint="default" w:ascii="Times New Roman" w:hAnsi="Times New Roman" w:eastAsia="宋体" w:cs="Times New Roman"/>
          <w:color w:val="auto"/>
          <w:highlight w:val="none"/>
          <w:lang w:val="en-US" w:eastAsia="zh-CN"/>
        </w:rPr>
        <w:t>应通过浸水试验，满足水下2米持续运行24小时，或者水下4米持续运行12小时后绝缘电阻、外施耐压和感应耐压试验合格（取出水面后立即进行）。</w:t>
      </w:r>
    </w:p>
    <w:p>
      <w:pPr>
        <w:pStyle w:val="25"/>
        <w:rPr>
          <w:rFonts w:hint="default" w:ascii="Times New Roman" w:hAnsi="Times New Roman" w:cs="Times New Roman"/>
          <w:color w:val="auto"/>
          <w:highlight w:val="none"/>
        </w:rPr>
      </w:pPr>
      <w:bookmarkStart w:id="278" w:name="_Toc419472615"/>
      <w:bookmarkEnd w:id="278"/>
      <w:bookmarkStart w:id="279" w:name="_Toc38157370"/>
      <w:bookmarkStart w:id="280" w:name="_Toc419472729"/>
      <w:bookmarkStart w:id="281" w:name="_Toc17378"/>
      <w:bookmarkStart w:id="282" w:name="_Toc9206"/>
      <w:bookmarkStart w:id="283" w:name="_Toc419906058"/>
      <w:bookmarkStart w:id="284" w:name="_Toc11527"/>
      <w:bookmarkStart w:id="285" w:name="_Toc21436"/>
      <w:bookmarkStart w:id="286" w:name="_Toc23407"/>
      <w:bookmarkStart w:id="287" w:name="_Toc26961"/>
      <w:bookmarkStart w:id="288" w:name="_Toc4853"/>
      <w:r>
        <w:rPr>
          <w:rFonts w:hint="default" w:ascii="Times New Roman" w:hAnsi="Times New Roman" w:cs="Times New Roman"/>
          <w:b/>
          <w:bCs/>
          <w:color w:val="auto"/>
          <w:highlight w:val="none"/>
        </w:rPr>
        <w:t>5.3</w:t>
      </w:r>
      <w:r>
        <w:rPr>
          <w:rFonts w:hint="default" w:ascii="Times New Roman" w:hAnsi="Times New Roman" w:cs="Times New Roman"/>
          <w:color w:val="auto"/>
          <w:highlight w:val="none"/>
        </w:rPr>
        <w:t xml:space="preserve"> 焊接质量要求</w:t>
      </w:r>
      <w:bookmarkEnd w:id="279"/>
      <w:bookmarkEnd w:id="280"/>
      <w:bookmarkEnd w:id="281"/>
      <w:bookmarkEnd w:id="282"/>
      <w:bookmarkEnd w:id="283"/>
      <w:bookmarkEnd w:id="284"/>
      <w:bookmarkEnd w:id="285"/>
      <w:bookmarkEnd w:id="286"/>
      <w:bookmarkEnd w:id="287"/>
      <w:bookmarkEnd w:id="288"/>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 对于钎焊，焊缝应饱满，表面应光滑，无气孔，开裂、尖角、毛刺、缺坑等缺陷；对于冷压焊接头不应有松动、扭曲、开裂等缺陷；对于弧焊，焊缝应饱满，无气孔、夹渣及熔塌等现象。</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 由焊接相连的钢板应精确地按尺寸要求切割，并靠压力连续地将焊件的棱边滚轧成合适的曲率半径。切割钢板和其他材料在进行焊接时不应产生任何弯曲。进行焊接的棱边的尺寸和形状应足以允许完全融熔和全部熔焊，而且钢板的棱边应严格地成型，以使之能适应于各种焊接条件。</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3） </w:t>
      </w:r>
      <w:r>
        <w:rPr>
          <w:rFonts w:hint="default" w:ascii="Times New Roman" w:hAnsi="Times New Roman" w:cs="Times New Roman"/>
          <w:color w:val="auto"/>
          <w:highlight w:val="none"/>
          <w:lang w:eastAsia="zh-CN"/>
        </w:rPr>
        <w:t>投标方</w:t>
      </w:r>
      <w:r>
        <w:rPr>
          <w:rFonts w:hint="default" w:ascii="Times New Roman" w:hAnsi="Times New Roman" w:cs="Times New Roman"/>
          <w:color w:val="auto"/>
          <w:highlight w:val="none"/>
        </w:rPr>
        <w:t>应提供认可的焊接工艺及材料、焊条和焊接的非破坏性试验。</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4） 导体连接采用磷铜焊，不应锡焊。</w:t>
      </w:r>
    </w:p>
    <w:p>
      <w:pPr>
        <w:pStyle w:val="27"/>
        <w:spacing w:before="317" w:after="317" w:line="400" w:lineRule="atLeast"/>
        <w:rPr>
          <w:rFonts w:hint="default" w:ascii="Times New Roman" w:hAnsi="Times New Roman" w:cs="Times New Roman"/>
          <w:color w:val="auto"/>
          <w:highlight w:val="none"/>
        </w:rPr>
      </w:pPr>
      <w:bookmarkStart w:id="289" w:name="_Toc419906062"/>
      <w:bookmarkEnd w:id="289"/>
      <w:bookmarkStart w:id="290" w:name="_Toc419906352"/>
      <w:bookmarkEnd w:id="290"/>
      <w:bookmarkStart w:id="291" w:name="_Toc27466"/>
      <w:bookmarkStart w:id="292" w:name="_Toc8082"/>
      <w:bookmarkStart w:id="293" w:name="_Toc349226963"/>
      <w:bookmarkStart w:id="294" w:name="_Toc25076"/>
      <w:bookmarkStart w:id="295" w:name="_Toc419906063"/>
      <w:bookmarkStart w:id="296" w:name="_Toc13038"/>
      <w:bookmarkStart w:id="297" w:name="_Toc38157371"/>
      <w:bookmarkStart w:id="298" w:name="_Toc19876"/>
      <w:bookmarkStart w:id="299" w:name="_Toc9708"/>
      <w:bookmarkStart w:id="300" w:name="_Toc20547"/>
      <w:bookmarkStart w:id="301" w:name="_Toc419472616"/>
      <w:r>
        <w:rPr>
          <w:rFonts w:hint="default" w:ascii="Times New Roman" w:hAnsi="Times New Roman" w:cs="Times New Roman"/>
          <w:b/>
          <w:bCs/>
          <w:color w:val="auto"/>
          <w:highlight w:val="none"/>
        </w:rPr>
        <w:t xml:space="preserve">6 </w:t>
      </w:r>
      <w:r>
        <w:rPr>
          <w:rFonts w:hint="default" w:ascii="Times New Roman" w:hAnsi="Times New Roman" w:cs="Times New Roman"/>
          <w:color w:val="auto"/>
          <w:highlight w:val="none"/>
        </w:rPr>
        <w:t xml:space="preserve"> 试验要求</w:t>
      </w:r>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20" w:firstLineChars="200"/>
        <w:rPr>
          <w:rFonts w:hint="default" w:ascii="Times New Roman" w:hAnsi="Times New Roman" w:cs="Times New Roman"/>
          <w:color w:val="auto"/>
          <w:highlight w:val="none"/>
        </w:rPr>
      </w:pPr>
      <w:bookmarkStart w:id="302" w:name="_Toc419906064"/>
      <w:r>
        <w:rPr>
          <w:rFonts w:hint="default" w:ascii="Times New Roman" w:hAnsi="Times New Roman" w:cs="Times New Roman"/>
          <w:color w:val="auto"/>
          <w:highlight w:val="none"/>
        </w:rPr>
        <w:t>变压器应按照GB1094.1～5、10、11、12等有关国家标准和行业标准规定的项目、方法进行试验，并且各项试验结果应符合本标准的相关要求。</w:t>
      </w:r>
      <w:bookmarkEnd w:id="302"/>
    </w:p>
    <w:p>
      <w:pPr>
        <w:pStyle w:val="25"/>
        <w:rPr>
          <w:rFonts w:hint="default" w:ascii="Times New Roman" w:hAnsi="Times New Roman" w:cs="Times New Roman"/>
          <w:color w:val="auto"/>
          <w:highlight w:val="none"/>
        </w:rPr>
      </w:pPr>
      <w:bookmarkStart w:id="303" w:name="_Toc7057"/>
      <w:bookmarkStart w:id="304" w:name="_Toc21087"/>
      <w:bookmarkStart w:id="305" w:name="_Toc38157372"/>
      <w:bookmarkStart w:id="306" w:name="_Toc8561"/>
      <w:bookmarkStart w:id="307" w:name="_Toc18532"/>
      <w:bookmarkStart w:id="308" w:name="_Toc15521"/>
      <w:bookmarkStart w:id="309" w:name="_Toc17613"/>
      <w:bookmarkStart w:id="310" w:name="_Toc419906065"/>
      <w:bookmarkStart w:id="311" w:name="_Toc1260"/>
      <w:r>
        <w:rPr>
          <w:rFonts w:hint="default" w:ascii="Times New Roman" w:hAnsi="Times New Roman" w:cs="Times New Roman"/>
          <w:b/>
          <w:bCs/>
          <w:color w:val="auto"/>
          <w:highlight w:val="none"/>
        </w:rPr>
        <w:t>6.1</w:t>
      </w:r>
      <w:r>
        <w:rPr>
          <w:rFonts w:hint="default" w:ascii="Times New Roman" w:hAnsi="Times New Roman" w:cs="Times New Roman"/>
          <w:color w:val="auto"/>
          <w:highlight w:val="none"/>
        </w:rPr>
        <w:t xml:space="preserve"> 试验项目</w:t>
      </w:r>
      <w:bookmarkEnd w:id="303"/>
      <w:bookmarkEnd w:id="304"/>
      <w:bookmarkEnd w:id="305"/>
      <w:bookmarkEnd w:id="306"/>
      <w:bookmarkEnd w:id="307"/>
      <w:bookmarkEnd w:id="308"/>
      <w:bookmarkEnd w:id="309"/>
      <w:bookmarkEnd w:id="310"/>
      <w:bookmarkEnd w:id="311"/>
    </w:p>
    <w:tbl>
      <w:tblPr>
        <w:tblStyle w:val="19"/>
        <w:tblW w:w="91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997"/>
        <w:gridCol w:w="1025"/>
        <w:gridCol w:w="1026"/>
        <w:gridCol w:w="1026"/>
        <w:gridCol w:w="1026"/>
        <w:gridCol w:w="1026"/>
        <w:gridCol w:w="10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试验项目</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型式试验</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出厂试验</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交接试验</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送样检测</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lang w:eastAsia="zh-CN"/>
              </w:rPr>
              <w:t>专项</w:t>
            </w:r>
            <w:r>
              <w:rPr>
                <w:rFonts w:hint="default" w:ascii="Times New Roman" w:hAnsi="Times New Roman" w:cs="Times New Roman"/>
                <w:color w:val="auto"/>
                <w:sz w:val="18"/>
                <w:szCs w:val="18"/>
                <w:highlight w:val="none"/>
              </w:rPr>
              <w:t>抽检</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到货抽检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绝缘电阻测量</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绕组直流电阻测量</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电压比测量和联结组标号检定</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空载电流和空载损耗测量</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短路阻抗和负载损耗测量</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外施耐压试验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感应耐压试验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必</w:t>
            </w:r>
            <w:r>
              <w:rPr>
                <w:rFonts w:hint="default" w:ascii="Times New Roman" w:hAnsi="Times New Roman" w:cs="Times New Roman"/>
                <w:color w:val="auto"/>
                <w:sz w:val="18"/>
                <w:szCs w:val="18"/>
                <w:highlight w:val="none"/>
                <w:lang w:eastAsia="zh-CN"/>
              </w:rPr>
              <w:t>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局放试验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雷电冲击试验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可</w:t>
            </w:r>
            <w:r>
              <w:rPr>
                <w:rFonts w:hint="default" w:ascii="Times New Roman" w:hAnsi="Times New Roman" w:cs="Times New Roman"/>
                <w:color w:val="auto"/>
                <w:sz w:val="18"/>
                <w:szCs w:val="18"/>
                <w:highlight w:val="none"/>
              </w:rPr>
              <w:t>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2997" w:type="dxa"/>
            <w:vAlign w:val="center"/>
          </w:tcPr>
          <w:p>
            <w:pPr>
              <w:widowControl/>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温升试验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tcPr>
          <w:p>
            <w:pPr>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声级测定（噪声测试）</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tcPr>
          <w:p>
            <w:pPr>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空载电流谐波测量（特殊试验）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 w:hRule="atLeast"/>
          <w:jc w:val="center"/>
        </w:trPr>
        <w:tc>
          <w:tcPr>
            <w:tcW w:w="2997" w:type="dxa"/>
          </w:tcPr>
          <w:p>
            <w:pPr>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承受短路能力试验（特殊试验）</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2997" w:type="dxa"/>
          </w:tcPr>
          <w:p>
            <w:pPr>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关键材料检测</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可选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9" w:hRule="atLeast"/>
          <w:jc w:val="center"/>
        </w:trPr>
        <w:tc>
          <w:tcPr>
            <w:tcW w:w="2997" w:type="dxa"/>
          </w:tcPr>
          <w:p>
            <w:pPr>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验证</w:t>
            </w:r>
            <w:r>
              <w:rPr>
                <w:rFonts w:hint="default" w:ascii="Times New Roman" w:hAnsi="Times New Roman" w:cs="Times New Roman"/>
                <w:color w:val="auto"/>
                <w:sz w:val="18"/>
                <w:szCs w:val="18"/>
                <w:highlight w:val="none"/>
              </w:rPr>
              <w:t>容量测试</w:t>
            </w:r>
          </w:p>
        </w:tc>
        <w:tc>
          <w:tcPr>
            <w:tcW w:w="1025"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tcPr>
          <w:p>
            <w:pPr>
              <w:jc w:val="center"/>
              <w:rPr>
                <w:rFonts w:hint="default" w:ascii="Times New Roman" w:hAnsi="Times New Roman" w:cs="Times New Roman"/>
                <w:color w:val="auto"/>
                <w:sz w:val="18"/>
                <w:szCs w:val="18"/>
                <w:highlight w:val="none"/>
              </w:rPr>
            </w:pPr>
          </w:p>
        </w:tc>
        <w:tc>
          <w:tcPr>
            <w:tcW w:w="1026" w:type="dxa"/>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必选</w:t>
            </w:r>
          </w:p>
        </w:tc>
        <w:tc>
          <w:tcPr>
            <w:tcW w:w="1026" w:type="dxa"/>
            <w:vAlign w:val="top"/>
          </w:tcPr>
          <w:p>
            <w:pPr>
              <w:jc w:val="center"/>
              <w:rPr>
                <w:rFonts w:hint="default" w:ascii="Times New Roman" w:hAnsi="Times New Roman" w:cs="Times New Roman"/>
              </w:rPr>
            </w:pPr>
            <w:r>
              <w:rPr>
                <w:rFonts w:hint="default" w:ascii="Times New Roman" w:hAnsi="Times New Roman" w:cs="Times New Roman"/>
                <w:color w:val="auto"/>
                <w:sz w:val="18"/>
                <w:szCs w:val="18"/>
                <w:highlight w:val="none"/>
              </w:rPr>
              <w:t>可选</w:t>
            </w:r>
          </w:p>
        </w:tc>
        <w:tc>
          <w:tcPr>
            <w:tcW w:w="1026" w:type="dxa"/>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可选</w:t>
            </w:r>
          </w:p>
        </w:tc>
      </w:tr>
    </w:tbl>
    <w:p>
      <w:pPr>
        <w:pStyle w:val="25"/>
        <w:rPr>
          <w:rFonts w:hint="default" w:ascii="Times New Roman" w:hAnsi="Times New Roman" w:cs="Times New Roman"/>
          <w:color w:val="auto"/>
          <w:highlight w:val="none"/>
        </w:rPr>
      </w:pPr>
      <w:bookmarkStart w:id="312" w:name="_Toc38157373"/>
      <w:bookmarkStart w:id="313" w:name="_Toc15940"/>
      <w:bookmarkStart w:id="314" w:name="_Toc419906067"/>
      <w:bookmarkStart w:id="315" w:name="_Toc31728"/>
      <w:bookmarkStart w:id="316" w:name="_Toc23937"/>
      <w:bookmarkStart w:id="317" w:name="_Toc21091"/>
      <w:bookmarkStart w:id="318" w:name="_Toc5973"/>
      <w:bookmarkStart w:id="319" w:name="_Toc7732"/>
      <w:bookmarkStart w:id="320" w:name="_Toc21635"/>
      <w:r>
        <w:rPr>
          <w:rFonts w:hint="default" w:ascii="Times New Roman" w:hAnsi="Times New Roman" w:cs="Times New Roman"/>
          <w:b/>
          <w:bCs/>
          <w:color w:val="auto"/>
          <w:highlight w:val="none"/>
        </w:rPr>
        <w:t>6.2</w:t>
      </w:r>
      <w:r>
        <w:rPr>
          <w:rFonts w:hint="default" w:ascii="Times New Roman" w:hAnsi="Times New Roman" w:cs="Times New Roman"/>
          <w:color w:val="auto"/>
          <w:highlight w:val="none"/>
        </w:rPr>
        <w:t xml:space="preserve"> 试验方法及要求</w:t>
      </w:r>
      <w:bookmarkEnd w:id="312"/>
      <w:bookmarkEnd w:id="313"/>
      <w:bookmarkEnd w:id="314"/>
      <w:bookmarkEnd w:id="315"/>
      <w:bookmarkEnd w:id="316"/>
      <w:bookmarkEnd w:id="317"/>
      <w:bookmarkEnd w:id="318"/>
      <w:bookmarkEnd w:id="319"/>
      <w:bookmarkEnd w:id="320"/>
    </w:p>
    <w:p>
      <w:pPr>
        <w:pStyle w:val="25"/>
        <w:outlineLvl w:val="2"/>
        <w:rPr>
          <w:rFonts w:hint="default" w:ascii="Times New Roman" w:hAnsi="Times New Roman" w:eastAsia="黑体" w:cs="Times New Roman"/>
          <w:bCs/>
          <w:color w:val="auto"/>
          <w:highlight w:val="none"/>
        </w:rPr>
      </w:pPr>
      <w:bookmarkStart w:id="321" w:name="_Toc3967"/>
      <w:bookmarkStart w:id="322" w:name="_Toc31050"/>
      <w:bookmarkStart w:id="323" w:name="_Toc32608"/>
      <w:bookmarkStart w:id="324" w:name="_Toc17654"/>
      <w:bookmarkStart w:id="325" w:name="_Toc2357"/>
      <w:bookmarkStart w:id="326" w:name="_Toc6789"/>
      <w:bookmarkStart w:id="327" w:name="_Toc22658"/>
      <w:r>
        <w:rPr>
          <w:rFonts w:hint="default" w:ascii="Times New Roman" w:hAnsi="Times New Roman" w:cs="Times New Roman"/>
          <w:b/>
          <w:bCs/>
          <w:color w:val="auto"/>
          <w:highlight w:val="none"/>
        </w:rPr>
        <w:t>6.2.1</w:t>
      </w:r>
      <w:r>
        <w:rPr>
          <w:rFonts w:hint="default" w:ascii="Times New Roman" w:hAnsi="Times New Roman" w:cs="Times New Roman"/>
          <w:color w:val="auto"/>
          <w:highlight w:val="none"/>
        </w:rPr>
        <w:t xml:space="preserve"> </w:t>
      </w:r>
      <w:r>
        <w:rPr>
          <w:rFonts w:hint="default" w:ascii="Times New Roman" w:hAnsi="Times New Roman" w:eastAsia="黑体" w:cs="Times New Roman"/>
          <w:bCs/>
          <w:color w:val="auto"/>
          <w:highlight w:val="none"/>
        </w:rPr>
        <w:t>关键材料检测</w:t>
      </w:r>
      <w:bookmarkEnd w:id="321"/>
      <w:bookmarkEnd w:id="322"/>
      <w:bookmarkEnd w:id="323"/>
      <w:bookmarkEnd w:id="324"/>
      <w:bookmarkEnd w:id="325"/>
      <w:bookmarkEnd w:id="326"/>
      <w:bookmarkEnd w:id="327"/>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1）硅钢片</w:t>
      </w:r>
    </w:p>
    <w:p>
      <w:pPr>
        <w:pStyle w:val="29"/>
        <w:spacing w:line="360" w:lineRule="auto"/>
        <w:ind w:left="420" w:firstLine="0" w:firstLineChars="0"/>
        <w:rPr>
          <w:rFonts w:hint="default" w:ascii="Times New Roman" w:hAnsi="Times New Roman" w:cs="Times New Roman"/>
          <w:color w:val="auto"/>
          <w:highlight w:val="none"/>
        </w:rPr>
      </w:pPr>
      <w:r>
        <w:rPr>
          <w:rFonts w:hint="default" w:ascii="Times New Roman" w:hAnsi="Times New Roman" w:cs="Times New Roman"/>
          <w:color w:val="auto"/>
          <w:highlight w:val="none"/>
        </w:rPr>
        <w:t>硅钢片除满足以下要求外，还应满足GB/T2521等有关国家标准的规定。</w:t>
      </w:r>
    </w:p>
    <w:tbl>
      <w:tblPr>
        <w:tblStyle w:val="19"/>
        <w:tblW w:w="76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5"/>
        <w:gridCol w:w="2312"/>
        <w:gridCol w:w="2714"/>
        <w:gridCol w:w="177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序号</w:t>
            </w:r>
          </w:p>
        </w:tc>
        <w:tc>
          <w:tcPr>
            <w:tcW w:w="2312"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检测项目</w:t>
            </w:r>
          </w:p>
        </w:tc>
        <w:tc>
          <w:tcPr>
            <w:tcW w:w="2714"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质量指标</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312"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比总损耗</w:t>
            </w:r>
          </w:p>
        </w:tc>
        <w:tc>
          <w:tcPr>
            <w:tcW w:w="2714"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r>
              <w:rPr>
                <w:rFonts w:hint="default" w:ascii="Times New Roman" w:hAnsi="Times New Roman" w:cs="Times New Roman"/>
                <w:color w:val="auto"/>
                <w:sz w:val="18"/>
                <w:szCs w:val="18"/>
                <w:highlight w:val="none"/>
                <w:lang w:val="en-US" w:eastAsia="zh-CN"/>
              </w:rPr>
              <w:t>0.85</w:t>
            </w:r>
            <w:r>
              <w:rPr>
                <w:rFonts w:hint="default" w:ascii="Times New Roman" w:hAnsi="Times New Roman" w:cs="Times New Roman"/>
                <w:color w:val="auto"/>
                <w:sz w:val="18"/>
                <w:szCs w:val="18"/>
                <w:highlight w:val="none"/>
              </w:rPr>
              <w:t>W/kg（P1.7/50）</w:t>
            </w:r>
            <w:r>
              <w:rPr>
                <w:rFonts w:hint="default" w:ascii="Times New Roman" w:hAnsi="Times New Roman" w:cs="Times New Roman"/>
                <w:color w:val="auto"/>
                <w:sz w:val="18"/>
                <w:szCs w:val="18"/>
                <w:highlight w:val="none"/>
                <w:vertAlign w:val="superscript"/>
              </w:rPr>
              <w:t>注</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GB/T 3655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312"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磁极化强度</w:t>
            </w:r>
          </w:p>
        </w:tc>
        <w:tc>
          <w:tcPr>
            <w:tcW w:w="2714"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≥1.88T</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GB/T 3655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312"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厚度及偏差</w:t>
            </w:r>
          </w:p>
        </w:tc>
        <w:tc>
          <w:tcPr>
            <w:tcW w:w="2714"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厚度≤0.23mm；偏差</w:t>
            </w:r>
            <w:r>
              <w:rPr>
                <w:rFonts w:hint="default" w:ascii="Times New Roman" w:hAnsi="Times New Roman" w:cs="Times New Roman"/>
                <w:color w:val="auto"/>
                <w:sz w:val="18"/>
                <w:szCs w:val="18"/>
                <w:highlight w:val="none"/>
                <w:lang w:val="en-US" w:eastAsia="zh-CN"/>
              </w:rPr>
              <w:t>-0.02~+0.01</w:t>
            </w:r>
            <w:r>
              <w:rPr>
                <w:rFonts w:hint="default" w:ascii="Times New Roman" w:hAnsi="Times New Roman" w:cs="Times New Roman"/>
                <w:color w:val="auto"/>
                <w:sz w:val="18"/>
                <w:szCs w:val="18"/>
                <w:highlight w:val="none"/>
              </w:rPr>
              <w:t>mm</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千分尺测量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312"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涂层</w:t>
            </w:r>
          </w:p>
        </w:tc>
        <w:tc>
          <w:tcPr>
            <w:tcW w:w="2714"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电阻值≥</w:t>
            </w:r>
            <w:r>
              <w:rPr>
                <w:rFonts w:hint="default" w:ascii="Times New Roman" w:hAnsi="Times New Roman" w:cs="Times New Roman"/>
                <w:color w:val="auto"/>
                <w:sz w:val="18"/>
                <w:szCs w:val="18"/>
                <w:highlight w:val="none"/>
                <w:lang w:val="en-US" w:eastAsia="zh-CN"/>
              </w:rPr>
              <w:t>30Ω·cm</w:t>
            </w:r>
            <w:r>
              <w:rPr>
                <w:rFonts w:hint="default" w:ascii="Times New Roman" w:hAnsi="Times New Roman" w:cs="Times New Roman"/>
                <w:color w:val="auto"/>
                <w:sz w:val="18"/>
                <w:szCs w:val="18"/>
                <w:highlight w:val="none"/>
                <w:vertAlign w:val="superscript"/>
                <w:lang w:val="en-US" w:eastAsia="zh-CN"/>
              </w:rPr>
              <w:t>2</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GB/T 2522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312"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凹痕、缺陷</w:t>
            </w:r>
          </w:p>
        </w:tc>
        <w:tc>
          <w:tcPr>
            <w:tcW w:w="2714"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无</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目测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5" w:type="dxa"/>
            <w:vAlign w:val="center"/>
          </w:tcPr>
          <w:p>
            <w:pPr>
              <w:pStyle w:val="29"/>
              <w:spacing w:line="360" w:lineRule="auto"/>
              <w:ind w:firstLine="171" w:firstLineChars="95"/>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312" w:type="dxa"/>
            <w:vAlign w:val="center"/>
          </w:tcPr>
          <w:p>
            <w:pPr>
              <w:pStyle w:val="29"/>
              <w:spacing w:line="360" w:lineRule="auto"/>
              <w:ind w:firstLine="0" w:firstLineChars="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氧化、生锈、脏污、变形</w:t>
            </w:r>
          </w:p>
        </w:tc>
        <w:tc>
          <w:tcPr>
            <w:tcW w:w="2714"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无</w:t>
            </w:r>
          </w:p>
        </w:tc>
        <w:tc>
          <w:tcPr>
            <w:tcW w:w="1778" w:type="dxa"/>
            <w:vAlign w:val="center"/>
          </w:tcPr>
          <w:p>
            <w:pPr>
              <w:pStyle w:val="29"/>
              <w:spacing w:line="360" w:lineRule="auto"/>
              <w:ind w:firstLine="36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目测</w:t>
            </w:r>
          </w:p>
        </w:tc>
      </w:tr>
    </w:tbl>
    <w:p>
      <w:pPr>
        <w:pStyle w:val="29"/>
        <w:spacing w:line="360" w:lineRule="auto"/>
        <w:ind w:firstLine="360"/>
        <w:rPr>
          <w:rFonts w:hint="default" w:ascii="Times New Roman" w:hAnsi="Times New Roman" w:eastAsia="黑体" w:cs="Times New Roman"/>
          <w:color w:val="auto"/>
          <w:sz w:val="18"/>
          <w:szCs w:val="18"/>
          <w:highlight w:val="none"/>
        </w:rPr>
      </w:pPr>
      <w:r>
        <w:rPr>
          <w:rFonts w:hint="default" w:ascii="Times New Roman" w:hAnsi="Times New Roman" w:eastAsia="黑体" w:cs="Times New Roman"/>
          <w:color w:val="auto"/>
          <w:sz w:val="18"/>
          <w:szCs w:val="18"/>
          <w:highlight w:val="none"/>
        </w:rPr>
        <w:t>注：硅钢片在制作过程中由于应力影响导致损耗增大，故对成品变压器进行关键材料检测时比总损耗取</w:t>
      </w:r>
      <w:r>
        <w:rPr>
          <w:rFonts w:hint="default" w:ascii="Times New Roman" w:hAnsi="Times New Roman" w:eastAsia="黑体" w:cs="Times New Roman"/>
          <w:color w:val="auto"/>
          <w:sz w:val="18"/>
          <w:szCs w:val="18"/>
          <w:highlight w:val="none"/>
          <w:lang w:val="en-US" w:eastAsia="zh-CN"/>
        </w:rPr>
        <w:t>0.88</w:t>
      </w:r>
      <w:r>
        <w:rPr>
          <w:rFonts w:hint="default" w:ascii="Times New Roman" w:hAnsi="Times New Roman" w:eastAsia="黑体" w:cs="Times New Roman"/>
          <w:color w:val="auto"/>
          <w:sz w:val="18"/>
          <w:szCs w:val="18"/>
          <w:highlight w:val="none"/>
        </w:rPr>
        <w:t xml:space="preserve"> W/kg（P1.7/50）。</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2）导线</w:t>
      </w:r>
    </w:p>
    <w:p>
      <w:pPr>
        <w:pStyle w:val="37"/>
        <w:autoSpaceDE w:val="0"/>
        <w:autoSpaceDN w:val="0"/>
        <w:spacing w:line="360" w:lineRule="auto"/>
        <w:rPr>
          <w:rFonts w:hint="default" w:ascii="Times New Roman" w:hAnsi="Times New Roman" w:cs="Times New Roman"/>
          <w:color w:val="auto"/>
          <w:szCs w:val="21"/>
          <w:highlight w:val="none"/>
        </w:rPr>
      </w:pPr>
      <w:r>
        <w:rPr>
          <w:rFonts w:hint="default" w:ascii="Times New Roman" w:hAnsi="Times New Roman" w:cs="Times New Roman"/>
          <w:color w:val="auto"/>
          <w:highlight w:val="none"/>
        </w:rPr>
        <w:t>除满足以下要求外，还应满足GB/T3953、GB/T 3955、GB/T 5584.2、GB/T 5584.3等有关国家标准的规定。</w:t>
      </w:r>
    </w:p>
    <w:tbl>
      <w:tblPr>
        <w:tblStyle w:val="19"/>
        <w:tblW w:w="775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76"/>
        <w:gridCol w:w="1476"/>
        <w:gridCol w:w="4536"/>
        <w:gridCol w:w="116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7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序号</w:t>
            </w:r>
          </w:p>
        </w:tc>
        <w:tc>
          <w:tcPr>
            <w:tcW w:w="147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检测项目</w:t>
            </w:r>
          </w:p>
        </w:tc>
        <w:tc>
          <w:tcPr>
            <w:tcW w:w="453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质量指标</w:t>
            </w:r>
          </w:p>
        </w:tc>
        <w:tc>
          <w:tcPr>
            <w:tcW w:w="1163"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试验方法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576"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1476"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绕组材质</w:t>
            </w:r>
          </w:p>
        </w:tc>
        <w:tc>
          <w:tcPr>
            <w:tcW w:w="4536"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铜</w:t>
            </w:r>
          </w:p>
        </w:tc>
        <w:tc>
          <w:tcPr>
            <w:tcW w:w="1163"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T/CEC 228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576"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2</w:t>
            </w:r>
          </w:p>
        </w:tc>
        <w:tc>
          <w:tcPr>
            <w:tcW w:w="147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电阻率（20℃）</w:t>
            </w:r>
          </w:p>
        </w:tc>
        <w:tc>
          <w:tcPr>
            <w:tcW w:w="453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铜导体：≤0.017241Ω.mm</w:t>
            </w:r>
            <w:r>
              <w:rPr>
                <w:rFonts w:hint="default" w:ascii="Times New Roman" w:hAnsi="Times New Roman" w:cs="Times New Roman"/>
                <w:color w:val="auto"/>
                <w:sz w:val="18"/>
                <w:szCs w:val="18"/>
                <w:highlight w:val="none"/>
                <w:vertAlign w:val="superscript"/>
              </w:rPr>
              <w:t>2</w:t>
            </w:r>
            <w:r>
              <w:rPr>
                <w:rFonts w:hint="default" w:ascii="Times New Roman" w:hAnsi="Times New Roman" w:cs="Times New Roman"/>
                <w:color w:val="auto"/>
                <w:sz w:val="18"/>
                <w:szCs w:val="18"/>
                <w:highlight w:val="none"/>
              </w:rPr>
              <w:t>/m</w:t>
            </w:r>
          </w:p>
        </w:tc>
        <w:tc>
          <w:tcPr>
            <w:tcW w:w="1163"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GB/T 3048.2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76" w:type="dxa"/>
            <w:vAlign w:val="center"/>
          </w:tcPr>
          <w:p>
            <w:pPr>
              <w:autoSpaceDE w:val="0"/>
              <w:autoSpaceDN w:val="0"/>
              <w:spacing w:line="360" w:lineRule="auto"/>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147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外观</w:t>
            </w:r>
          </w:p>
        </w:tc>
        <w:tc>
          <w:tcPr>
            <w:tcW w:w="4536"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表面光洁，不应有与良好工业产品不相对称的任何缺陷</w:t>
            </w:r>
          </w:p>
        </w:tc>
        <w:tc>
          <w:tcPr>
            <w:tcW w:w="1163" w:type="dxa"/>
            <w:vAlign w:val="center"/>
          </w:tcPr>
          <w:p>
            <w:pPr>
              <w:autoSpaceDE w:val="0"/>
              <w:autoSpaceDN w:val="0"/>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目测</w:t>
            </w:r>
          </w:p>
        </w:tc>
      </w:tr>
    </w:tbl>
    <w:p>
      <w:pPr>
        <w:pStyle w:val="27"/>
        <w:spacing w:before="317" w:after="317" w:line="400" w:lineRule="atLeast"/>
        <w:rPr>
          <w:rFonts w:hint="default" w:ascii="Times New Roman" w:hAnsi="Times New Roman" w:cs="Times New Roman"/>
          <w:color w:val="auto"/>
          <w:highlight w:val="none"/>
        </w:rPr>
      </w:pPr>
      <w:bookmarkStart w:id="328" w:name="_Toc384341025"/>
      <w:bookmarkStart w:id="329" w:name="_Toc38157375"/>
      <w:bookmarkStart w:id="330" w:name="_Toc282993355"/>
      <w:bookmarkStart w:id="331" w:name="_Toc400640389"/>
      <w:bookmarkStart w:id="332" w:name="_Toc29901"/>
      <w:bookmarkStart w:id="333" w:name="_Toc2888"/>
      <w:bookmarkStart w:id="334" w:name="_Toc22043"/>
      <w:bookmarkStart w:id="335" w:name="_Toc22448"/>
      <w:bookmarkStart w:id="336" w:name="_Toc17225"/>
      <w:bookmarkStart w:id="337" w:name="_Toc11688"/>
      <w:bookmarkStart w:id="338" w:name="_Toc22638"/>
      <w:r>
        <w:rPr>
          <w:rFonts w:hint="default" w:ascii="Times New Roman" w:hAnsi="Times New Roman" w:cs="Times New Roman"/>
          <w:b/>
          <w:bCs/>
          <w:color w:val="auto"/>
          <w:highlight w:val="none"/>
          <w:lang w:val="en-US" w:eastAsia="zh-CN"/>
        </w:rPr>
        <w:t>7</w:t>
      </w:r>
      <w:r>
        <w:rPr>
          <w:rFonts w:hint="default" w:ascii="Times New Roman" w:hAnsi="Times New Roman" w:cs="Times New Roman"/>
          <w:color w:val="auto"/>
          <w:highlight w:val="none"/>
        </w:rPr>
        <w:t xml:space="preserve">  企业VI标识</w:t>
      </w:r>
      <w:bookmarkEnd w:id="328"/>
      <w:bookmarkEnd w:id="329"/>
      <w:bookmarkEnd w:id="330"/>
      <w:bookmarkEnd w:id="331"/>
      <w:r>
        <w:rPr>
          <w:rFonts w:hint="default" w:ascii="Times New Roman" w:hAnsi="Times New Roman" w:cs="Times New Roman"/>
          <w:color w:val="auto"/>
          <w:highlight w:val="none"/>
          <w:lang w:eastAsia="zh-CN"/>
        </w:rPr>
        <w:t>及</w:t>
      </w:r>
      <w:r>
        <w:rPr>
          <w:rFonts w:hint="default" w:ascii="Times New Roman" w:hAnsi="Times New Roman" w:cs="Times New Roman"/>
          <w:color w:val="auto"/>
          <w:highlight w:val="none"/>
          <w:lang w:val="en-US" w:eastAsia="zh-CN"/>
        </w:rPr>
        <w:t>RFID电子标签</w:t>
      </w:r>
      <w:bookmarkEnd w:id="332"/>
      <w:bookmarkEnd w:id="333"/>
      <w:bookmarkEnd w:id="334"/>
      <w:bookmarkEnd w:id="335"/>
      <w:bookmarkEnd w:id="336"/>
      <w:bookmarkEnd w:id="337"/>
      <w:bookmarkEnd w:id="338"/>
    </w:p>
    <w:p>
      <w:pPr>
        <w:pStyle w:val="25"/>
        <w:rPr>
          <w:rFonts w:hint="default" w:ascii="Times New Roman" w:hAnsi="Times New Roman" w:cs="Times New Roman"/>
          <w:color w:val="auto"/>
          <w:highlight w:val="none"/>
        </w:rPr>
      </w:pPr>
      <w:bookmarkStart w:id="339" w:name="_Toc282993356"/>
      <w:bookmarkStart w:id="340" w:name="_Toc19779"/>
      <w:bookmarkStart w:id="341" w:name="_Toc8147"/>
      <w:bookmarkStart w:id="342" w:name="_Toc384341026"/>
      <w:bookmarkStart w:id="343" w:name="_Toc12975"/>
      <w:bookmarkStart w:id="344" w:name="_Toc20429"/>
      <w:bookmarkStart w:id="345" w:name="_Toc15568"/>
      <w:bookmarkStart w:id="346" w:name="_Toc38157376"/>
      <w:bookmarkStart w:id="347" w:name="_Toc13284"/>
      <w:bookmarkStart w:id="348" w:name="_Toc20433"/>
      <w:r>
        <w:rPr>
          <w:rFonts w:hint="default" w:ascii="Times New Roman" w:hAnsi="Times New Roman" w:cs="Times New Roman"/>
          <w:b/>
          <w:bCs/>
          <w:color w:val="auto"/>
          <w:highlight w:val="none"/>
          <w:lang w:val="en-US" w:eastAsia="zh-CN"/>
        </w:rPr>
        <w:t>7</w:t>
      </w: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VI标识</w:t>
      </w:r>
      <w:bookmarkEnd w:id="339"/>
      <w:bookmarkEnd w:id="340"/>
      <w:bookmarkEnd w:id="341"/>
      <w:bookmarkEnd w:id="342"/>
      <w:bookmarkEnd w:id="343"/>
      <w:bookmarkEnd w:id="344"/>
      <w:bookmarkEnd w:id="345"/>
      <w:bookmarkEnd w:id="346"/>
      <w:bookmarkEnd w:id="347"/>
      <w:bookmarkEnd w:id="348"/>
    </w:p>
    <w:p>
      <w:pPr>
        <w:adjustRightInd w:val="0"/>
        <w:snapToGrid w:val="0"/>
        <w:spacing w:line="360" w:lineRule="auto"/>
        <w:ind w:firstLine="420" w:firstLineChars="200"/>
        <w:rPr>
          <w:rFonts w:hint="default" w:ascii="Times New Roman" w:hAnsi="Times New Roman" w:cs="Times New Roman"/>
          <w:color w:val="auto"/>
          <w:highlight w:val="none"/>
        </w:rPr>
      </w:pPr>
      <w:bookmarkStart w:id="349" w:name="_Toc277686859"/>
      <w:bookmarkStart w:id="350" w:name="_Toc277255901"/>
      <w:r>
        <w:rPr>
          <w:rFonts w:hint="default" w:ascii="Times New Roman" w:hAnsi="Times New Roman" w:cs="Times New Roman"/>
          <w:color w:val="auto"/>
          <w:highlight w:val="none"/>
        </w:rPr>
        <w:t>1）设备外立面上应有统一的南方电网公司企业VI标识，并符合《中国南方电网视觉识别系统管理手册》的要求。</w:t>
      </w:r>
      <w:bookmarkEnd w:id="349"/>
      <w:bookmarkEnd w:id="350"/>
    </w:p>
    <w:p>
      <w:pPr>
        <w:adjustRightInd w:val="0"/>
        <w:snapToGrid w:val="0"/>
        <w:spacing w:line="360" w:lineRule="auto"/>
        <w:ind w:firstLine="420" w:firstLineChars="200"/>
        <w:rPr>
          <w:rFonts w:hint="default" w:ascii="Times New Roman" w:hAnsi="Times New Roman" w:cs="Times New Roman"/>
          <w:color w:val="auto"/>
          <w:highlight w:val="none"/>
        </w:rPr>
      </w:pPr>
      <w:bookmarkStart w:id="351" w:name="_Toc277686860"/>
      <w:bookmarkStart w:id="352" w:name="_Toc277686861"/>
      <w:bookmarkStart w:id="353" w:name="_Toc277255903"/>
      <w:r>
        <w:rPr>
          <w:rFonts w:hint="default" w:ascii="Times New Roman" w:hAnsi="Times New Roman" w:cs="Times New Roman"/>
          <w:color w:val="auto"/>
          <w:highlight w:val="none"/>
        </w:rPr>
        <w:t>2）标识的内容构成：中国南方电网标志、“中国南方电网”中英文名称。</w:t>
      </w:r>
      <w:bookmarkEnd w:id="351"/>
    </w:p>
    <w:p>
      <w:pPr>
        <w:adjustRightInd w:val="0"/>
        <w:snapToGrid w:val="0"/>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3）颜色：标识采用企业标准色C100 M69 Y0 K38，背景采用白色。</w:t>
      </w:r>
      <w:bookmarkEnd w:id="352"/>
      <w:bookmarkEnd w:id="353"/>
    </w:p>
    <w:p>
      <w:pPr>
        <w:adjustRightInd w:val="0"/>
        <w:snapToGrid w:val="0"/>
        <w:spacing w:line="360" w:lineRule="auto"/>
        <w:ind w:firstLine="420" w:firstLineChars="200"/>
        <w:rPr>
          <w:rFonts w:hint="default" w:ascii="Times New Roman" w:hAnsi="Times New Roman" w:cs="Times New Roman"/>
          <w:color w:val="auto"/>
          <w:highlight w:val="none"/>
        </w:rPr>
      </w:pPr>
      <w:bookmarkStart w:id="354" w:name="_Toc277255904"/>
      <w:bookmarkStart w:id="355" w:name="_Toc277686862"/>
      <w:r>
        <w:rPr>
          <w:rFonts w:hint="default" w:ascii="Times New Roman" w:hAnsi="Times New Roman" w:cs="Times New Roman"/>
          <w:color w:val="auto"/>
          <w:highlight w:val="none"/>
        </w:rPr>
        <w:t>4）材质选用厚度为</w:t>
      </w:r>
      <w:r>
        <w:rPr>
          <w:rFonts w:hint="default" w:ascii="Times New Roman" w:hAnsi="Times New Roman" w:cs="Times New Roman"/>
          <w:color w:val="auto"/>
          <w:highlight w:val="none"/>
          <w:lang w:val="en-US" w:eastAsia="zh-CN"/>
        </w:rPr>
        <w:t>1.2±0.2</w:t>
      </w:r>
      <w:r>
        <w:rPr>
          <w:rFonts w:hint="default" w:ascii="Times New Roman" w:hAnsi="Times New Roman" w:cs="Times New Roman"/>
          <w:color w:val="auto"/>
          <w:highlight w:val="none"/>
        </w:rPr>
        <w:t>mm的拉丝不锈钢板，工艺为表面文字蚀刻、烤漆入色。</w:t>
      </w:r>
      <w:bookmarkEnd w:id="354"/>
      <w:bookmarkEnd w:id="355"/>
    </w:p>
    <w:p>
      <w:pPr>
        <w:adjustRightInd w:val="0"/>
        <w:snapToGrid w:val="0"/>
        <w:spacing w:line="360" w:lineRule="auto"/>
        <w:ind w:firstLine="420" w:firstLineChars="200"/>
        <w:rPr>
          <w:rFonts w:hint="default" w:ascii="Times New Roman" w:hAnsi="Times New Roman" w:cs="Times New Roman"/>
          <w:color w:val="auto"/>
          <w:highlight w:val="none"/>
        </w:rPr>
      </w:pPr>
      <w:bookmarkStart w:id="356" w:name="_Toc277686863"/>
      <w:r>
        <w:rPr>
          <w:rFonts w:hint="default" w:ascii="Times New Roman" w:hAnsi="Times New Roman" w:cs="Times New Roman"/>
          <w:color w:val="auto"/>
          <w:highlight w:val="none"/>
        </w:rPr>
        <w:t>5）企业标识安装在设备外立面正面醒目位置。</w:t>
      </w:r>
      <w:bookmarkEnd w:id="356"/>
    </w:p>
    <w:p>
      <w:pPr>
        <w:adjustRightInd w:val="0"/>
        <w:snapToGrid w:val="0"/>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6）</w:t>
      </w:r>
      <w:r>
        <w:rPr>
          <w:rFonts w:hint="default" w:ascii="Times New Roman" w:hAnsi="Times New Roman" w:cs="Times New Roman"/>
          <w:color w:val="auto"/>
          <w:highlight w:val="none"/>
        </w:rPr>
        <w:t>标识地点：与厂家名称标识相邻。</w:t>
      </w:r>
    </w:p>
    <w:p>
      <w:pPr>
        <w:pStyle w:val="30"/>
        <w:spacing w:line="360" w:lineRule="auto"/>
        <w:ind w:firstLine="420" w:firstLineChars="200"/>
        <w:outlineLvl w:val="9"/>
        <w:rPr>
          <w:rFonts w:hint="default" w:ascii="Times New Roman" w:hAnsi="Times New Roman" w:eastAsia="宋体" w:cs="Times New Roman"/>
          <w:b w:val="0"/>
          <w:color w:val="auto"/>
          <w:kern w:val="2"/>
          <w:szCs w:val="24"/>
          <w:highlight w:val="none"/>
        </w:rPr>
      </w:pPr>
      <w:r>
        <w:rPr>
          <w:rFonts w:hint="default" w:ascii="Times New Roman" w:hAnsi="Times New Roman" w:eastAsia="宋体" w:cs="Times New Roman"/>
          <w:b w:val="0"/>
          <w:color w:val="auto"/>
          <w:kern w:val="2"/>
          <w:szCs w:val="24"/>
          <w:highlight w:val="none"/>
        </w:rPr>
        <w:t>厂家名称与南网标识并排安装于外壳正面。两者标识牌大小相当。南网标识牌材质与厂家名称标识牌材质保持一致。南网标识牌的图案、色泽、造型按南方电网公司视觉识别系统管理手册2006修订版中要求，按所需比例修正。</w:t>
      </w:r>
    </w:p>
    <w:p>
      <w:pPr>
        <w:pStyle w:val="29"/>
        <w:ind w:left="0" w:leftChars="0" w:firstLine="0" w:firstLineChars="0"/>
        <w:jc w:val="center"/>
        <w:rPr>
          <w:rFonts w:hint="default" w:ascii="Times New Roman" w:hAnsi="Times New Roman" w:cs="Times New Roman"/>
        </w:rPr>
      </w:pPr>
      <w:r>
        <w:rPr>
          <w:rFonts w:hint="default" w:ascii="Times New Roman" w:hAnsi="Times New Roman" w:cs="Times New Roman"/>
        </w:rPr>
        <w:drawing>
          <wp:inline distT="0" distB="0" distL="0" distR="0">
            <wp:extent cx="5047615" cy="6788785"/>
            <wp:effectExtent l="0" t="0" r="635" b="12065"/>
            <wp:docPr id="2" name="图片 2" descr="D:\【2】设计院及以前\Documents\WXWorkLocal\1688849876309384\Cache\Image\2020-04\企业微信截图_158693812173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2】设计院及以前\Documents\WXWorkLocal\1688849876309384\Cache\Image\2020-04\企业微信截图_15869381217369.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47615" cy="6788785"/>
                    </a:xfrm>
                    <a:prstGeom prst="rect">
                      <a:avLst/>
                    </a:prstGeom>
                    <a:noFill/>
                    <a:ln>
                      <a:noFill/>
                    </a:ln>
                  </pic:spPr>
                </pic:pic>
              </a:graphicData>
            </a:graphic>
          </wp:inline>
        </w:drawing>
      </w:r>
    </w:p>
    <w:p>
      <w:pPr>
        <w:pStyle w:val="30"/>
        <w:numPr>
          <w:ilvl w:val="0"/>
          <w:numId w:val="0"/>
        </w:numPr>
        <w:adjustRightInd w:val="0"/>
        <w:snapToGrid w:val="0"/>
        <w:spacing w:before="120" w:after="120" w:line="360" w:lineRule="auto"/>
        <w:ind w:firstLine="0" w:firstLineChars="0"/>
        <w:outlineLvl w:val="1"/>
        <w:rPr>
          <w:rFonts w:hint="default" w:ascii="Times New Roman" w:hAnsi="Times New Roman" w:cs="Times New Roman"/>
          <w:b w:val="0"/>
          <w:bCs/>
          <w:color w:val="auto"/>
          <w:highlight w:val="none"/>
          <w:lang w:val="en-US" w:eastAsia="zh-CN"/>
        </w:rPr>
      </w:pPr>
      <w:bookmarkStart w:id="357" w:name="_Toc10295"/>
      <w:bookmarkStart w:id="358" w:name="_Toc18995"/>
      <w:bookmarkStart w:id="359" w:name="_Toc15099"/>
      <w:bookmarkStart w:id="360" w:name="_Toc25503"/>
      <w:bookmarkStart w:id="361" w:name="_Toc17307"/>
      <w:bookmarkStart w:id="362" w:name="_Toc27157"/>
      <w:bookmarkStart w:id="363" w:name="_Toc11990"/>
      <w:r>
        <w:rPr>
          <w:rFonts w:hint="default" w:ascii="Times New Roman" w:hAnsi="Times New Roman" w:cs="Times New Roman"/>
          <w:color w:val="auto"/>
          <w:highlight w:val="none"/>
          <w:lang w:val="en-US" w:eastAsia="zh-CN"/>
        </w:rPr>
        <w:t xml:space="preserve">7.2 </w:t>
      </w:r>
      <w:r>
        <w:rPr>
          <w:rFonts w:hint="default" w:ascii="Times New Roman" w:hAnsi="Times New Roman" w:cs="Times New Roman"/>
          <w:b w:val="0"/>
          <w:bCs/>
          <w:color w:val="auto"/>
          <w:highlight w:val="none"/>
          <w:lang w:val="en-US" w:eastAsia="zh-CN"/>
        </w:rPr>
        <w:t>RFID 电子标签</w:t>
      </w:r>
      <w:bookmarkEnd w:id="357"/>
      <w:bookmarkEnd w:id="358"/>
      <w:bookmarkEnd w:id="359"/>
      <w:bookmarkEnd w:id="360"/>
      <w:bookmarkEnd w:id="361"/>
      <w:bookmarkEnd w:id="362"/>
      <w:bookmarkEnd w:id="363"/>
    </w:p>
    <w:p>
      <w:pPr>
        <w:adjustRightInd w:val="0"/>
        <w:snapToGrid w:val="0"/>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应安装RFID电子标签，RFID码选用B型</w:t>
      </w:r>
      <w:r>
        <w:rPr>
          <w:rFonts w:hint="default" w:ascii="Times New Roman" w:hAnsi="Times New Roman" w:eastAsia="宋体" w:cs="Times New Roman"/>
          <w:b w:val="0"/>
          <w:bCs w:val="0"/>
          <w:color w:val="auto"/>
          <w:sz w:val="21"/>
          <w:szCs w:val="24"/>
          <w:highlight w:val="none"/>
          <w:lang w:val="en-US" w:eastAsia="zh-CN"/>
        </w:rPr>
        <w:t>，采用螺栓</w:t>
      </w:r>
      <w:r>
        <w:rPr>
          <w:rFonts w:hint="default" w:ascii="Times New Roman" w:hAnsi="Times New Roman" w:cs="Times New Roman"/>
          <w:b w:val="0"/>
          <w:bCs w:val="0"/>
          <w:color w:val="auto"/>
          <w:sz w:val="21"/>
          <w:szCs w:val="24"/>
          <w:highlight w:val="none"/>
          <w:lang w:val="en-US" w:eastAsia="zh-CN"/>
        </w:rPr>
        <w:t>或铆钉</w:t>
      </w:r>
      <w:r>
        <w:rPr>
          <w:rFonts w:hint="default" w:ascii="Times New Roman" w:hAnsi="Times New Roman" w:eastAsia="宋体" w:cs="Times New Roman"/>
          <w:b w:val="0"/>
          <w:bCs w:val="0"/>
          <w:color w:val="auto"/>
          <w:sz w:val="21"/>
          <w:szCs w:val="24"/>
          <w:highlight w:val="none"/>
          <w:lang w:val="en-US" w:eastAsia="zh-CN"/>
        </w:rPr>
        <w:t>固定两端孔位安装方式。</w:t>
      </w:r>
    </w:p>
    <w:p>
      <w:pPr>
        <w:pStyle w:val="27"/>
        <w:spacing w:before="317" w:after="317" w:line="400" w:lineRule="atLeast"/>
        <w:rPr>
          <w:rFonts w:hint="default" w:ascii="Times New Roman" w:hAnsi="Times New Roman" w:eastAsia="黑体" w:cs="Times New Roman"/>
          <w:color w:val="auto"/>
          <w:sz w:val="21"/>
          <w:szCs w:val="20"/>
          <w:highlight w:val="none"/>
        </w:rPr>
      </w:pPr>
      <w:bookmarkStart w:id="364" w:name="_Toc32156"/>
      <w:bookmarkStart w:id="365" w:name="_Toc19386"/>
      <w:bookmarkStart w:id="366" w:name="_Toc366"/>
      <w:r>
        <w:rPr>
          <w:rFonts w:hint="default" w:ascii="Times New Roman" w:hAnsi="Times New Roman" w:eastAsia="黑体" w:cs="Times New Roman"/>
          <w:b/>
          <w:bCs/>
          <w:color w:val="auto"/>
          <w:sz w:val="21"/>
          <w:szCs w:val="20"/>
          <w:highlight w:val="none"/>
        </w:rPr>
        <w:t>8</w:t>
      </w:r>
      <w:r>
        <w:rPr>
          <w:rFonts w:hint="default" w:ascii="Times New Roman" w:hAnsi="Times New Roman" w:cs="Times New Roman"/>
          <w:color w:val="auto"/>
          <w:sz w:val="21"/>
          <w:szCs w:val="20"/>
          <w:highlight w:val="none"/>
          <w:lang w:val="en-US" w:eastAsia="zh-CN"/>
        </w:rPr>
        <w:t xml:space="preserve"> </w:t>
      </w:r>
      <w:r>
        <w:rPr>
          <w:rFonts w:hint="default" w:ascii="Times New Roman" w:hAnsi="Times New Roman" w:eastAsia="黑体" w:cs="Times New Roman"/>
          <w:color w:val="auto"/>
          <w:sz w:val="21"/>
          <w:szCs w:val="20"/>
          <w:highlight w:val="none"/>
        </w:rPr>
        <w:t>电气及土建接口</w:t>
      </w:r>
      <w:bookmarkEnd w:id="364"/>
      <w:bookmarkEnd w:id="365"/>
      <w:bookmarkEnd w:id="366"/>
    </w:p>
    <w:p>
      <w:pPr>
        <w:pStyle w:val="25"/>
        <w:rPr>
          <w:rFonts w:hint="default" w:ascii="Times New Roman" w:hAnsi="Times New Roman" w:cs="Times New Roman"/>
          <w:color w:val="auto"/>
          <w:highlight w:val="none"/>
        </w:rPr>
      </w:pPr>
      <w:bookmarkStart w:id="367" w:name="_Toc4276"/>
      <w:bookmarkStart w:id="368" w:name="_Toc17231"/>
      <w:bookmarkStart w:id="369" w:name="_Toc5138"/>
      <w:r>
        <w:rPr>
          <w:rFonts w:hint="default" w:ascii="Times New Roman" w:hAnsi="Times New Roman" w:cs="Times New Roman"/>
          <w:b/>
          <w:bCs/>
          <w:color w:val="auto"/>
          <w:highlight w:val="none"/>
          <w:lang w:val="en-US" w:eastAsia="zh-CN"/>
        </w:rPr>
        <w:t>8</w:t>
      </w: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电气一次接口</w:t>
      </w:r>
      <w:bookmarkEnd w:id="367"/>
      <w:bookmarkEnd w:id="368"/>
      <w:bookmarkEnd w:id="369"/>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Times New Roman" w:hAnsi="Times New Roman" w:cs="Times New Roman"/>
        </w:rPr>
      </w:pPr>
      <w:r>
        <w:rPr>
          <w:rFonts w:hint="default" w:ascii="Times New Roman" w:hAnsi="Times New Roman" w:cs="Times New Roman"/>
        </w:rPr>
        <w:t>1）三相变压器套管排列顺序见图</w:t>
      </w:r>
      <w:r>
        <w:rPr>
          <w:rFonts w:hint="default" w:ascii="Times New Roman" w:hAnsi="Times New Roman" w:cs="Times New Roman"/>
          <w:lang w:val="en-US" w:eastAsia="zh-CN"/>
        </w:rPr>
        <w:t>8</w:t>
      </w:r>
      <w:r>
        <w:rPr>
          <w:rFonts w:hint="default" w:ascii="Times New Roman" w:hAnsi="Times New Roman" w:cs="Times New Roman"/>
        </w:rPr>
        <w:t>.1。</w:t>
      </w:r>
    </w:p>
    <w:p>
      <w:pPr>
        <w:bidi w:val="0"/>
        <w:jc w:val="center"/>
        <w:rPr>
          <w:rFonts w:hint="default" w:ascii="Times New Roman" w:hAnsi="Times New Roman" w:cs="Times New Roman"/>
        </w:rPr>
      </w:pPr>
      <w:r>
        <w:rPr>
          <w:rFonts w:hint="default" w:ascii="Times New Roman" w:hAnsi="Times New Roman" w:cs="Times New Roman"/>
        </w:rPr>
        <w:drawing>
          <wp:inline distT="0" distB="0" distL="114300" distR="114300">
            <wp:extent cx="2365375" cy="1808480"/>
            <wp:effectExtent l="0" t="0" r="15875" b="1270"/>
            <wp:docPr id="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IMG_256"/>
                    <pic:cNvPicPr>
                      <a:picLocks noChangeAspect="1"/>
                    </pic:cNvPicPr>
                  </pic:nvPicPr>
                  <pic:blipFill>
                    <a:blip r:embed="rId22"/>
                    <a:stretch>
                      <a:fillRect/>
                    </a:stretch>
                  </pic:blipFill>
                  <pic:spPr>
                    <a:xfrm>
                      <a:off x="0" y="0"/>
                      <a:ext cx="2365375" cy="1808480"/>
                    </a:xfrm>
                    <a:prstGeom prst="rect">
                      <a:avLst/>
                    </a:prstGeom>
                    <a:noFill/>
                    <a:ln w="9525">
                      <a:noFill/>
                    </a:ln>
                  </pic:spPr>
                </pic:pic>
              </a:graphicData>
            </a:graphic>
          </wp:inline>
        </w:drawing>
      </w:r>
    </w:p>
    <w:p>
      <w:pPr>
        <w:bidi w:val="0"/>
        <w:jc w:val="center"/>
        <w:rPr>
          <w:rFonts w:hint="default" w:ascii="Times New Roman" w:hAnsi="Times New Roman" w:cs="Times New Roman"/>
        </w:rPr>
      </w:pPr>
      <w:r>
        <w:rPr>
          <w:rFonts w:hint="default" w:ascii="Times New Roman" w:hAnsi="Times New Roman" w:cs="Times New Roman"/>
          <w:lang w:val="en-US" w:eastAsia="zh-CN"/>
        </w:rPr>
        <w:t>a）立体卷铁心干式变压器接线端子排列顺序</w:t>
      </w:r>
    </w:p>
    <w:p>
      <w:pPr>
        <w:bidi w:val="0"/>
        <w:jc w:val="center"/>
        <w:rPr>
          <w:rFonts w:hint="default" w:ascii="Times New Roman" w:hAnsi="Times New Roman" w:cs="Times New Roman"/>
        </w:rPr>
      </w:pPr>
      <w:r>
        <w:rPr>
          <w:rFonts w:hint="default" w:ascii="Times New Roman" w:hAnsi="Times New Roman" w:cs="Times New Roman"/>
        </w:rPr>
        <w:drawing>
          <wp:inline distT="0" distB="0" distL="114300" distR="114300">
            <wp:extent cx="2736215" cy="1511935"/>
            <wp:effectExtent l="0" t="0" r="6985" b="12065"/>
            <wp:docPr id="1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IMG_256"/>
                    <pic:cNvPicPr>
                      <a:picLocks noChangeAspect="1"/>
                    </pic:cNvPicPr>
                  </pic:nvPicPr>
                  <pic:blipFill>
                    <a:blip r:embed="rId23"/>
                    <a:stretch>
                      <a:fillRect/>
                    </a:stretch>
                  </pic:blipFill>
                  <pic:spPr>
                    <a:xfrm>
                      <a:off x="0" y="0"/>
                      <a:ext cx="2736215" cy="1511935"/>
                    </a:xfrm>
                    <a:prstGeom prst="rect">
                      <a:avLst/>
                    </a:prstGeom>
                    <a:noFill/>
                    <a:ln w="9525">
                      <a:noFill/>
                    </a:ln>
                  </pic:spPr>
                </pic:pic>
              </a:graphicData>
            </a:graphic>
          </wp:inline>
        </w:drawing>
      </w:r>
    </w:p>
    <w:p>
      <w:pPr>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b)叠铁心干式变压器接线端子排列顺序</w:t>
      </w:r>
    </w:p>
    <w:p>
      <w:pPr>
        <w:bidi w:val="0"/>
        <w:jc w:val="center"/>
        <w:rPr>
          <w:rFonts w:hint="default" w:ascii="Times New Roman" w:hAnsi="Times New Roman" w:cs="Times New Roman"/>
        </w:rPr>
      </w:pPr>
      <w:r>
        <w:rPr>
          <w:rFonts w:hint="default" w:ascii="Times New Roman" w:hAnsi="Times New Roman" w:cs="Times New Roman"/>
        </w:rPr>
        <w:t>图</w:t>
      </w:r>
      <w:r>
        <w:rPr>
          <w:rFonts w:hint="default" w:ascii="Times New Roman" w:hAnsi="Times New Roman" w:cs="Times New Roman"/>
          <w:lang w:val="en-US" w:eastAsia="zh-CN"/>
        </w:rPr>
        <w:t>8</w:t>
      </w:r>
      <w:r>
        <w:rPr>
          <w:rFonts w:hint="default" w:ascii="Times New Roman" w:hAnsi="Times New Roman" w:cs="Times New Roman"/>
        </w:rPr>
        <w:t>.1</w:t>
      </w:r>
      <w:r>
        <w:rPr>
          <w:rFonts w:hint="default" w:ascii="Times New Roman" w:hAnsi="Times New Roman" w:cs="Times New Roman"/>
          <w:lang w:val="en-US" w:eastAsia="zh-CN"/>
        </w:rPr>
        <w:t xml:space="preserve"> 变压器接线端子排列</w:t>
      </w:r>
    </w:p>
    <w:p>
      <w:pPr>
        <w:pStyle w:val="30"/>
        <w:numPr>
          <w:ilvl w:val="0"/>
          <w:numId w:val="0"/>
        </w:numPr>
        <w:spacing w:before="120" w:after="120"/>
        <w:ind w:left="529" w:hanging="529" w:hangingChars="251"/>
        <w:outlineLvl w:val="9"/>
        <w:rPr>
          <w:rFonts w:hint="default" w:ascii="Times New Roman" w:hAnsi="Times New Roman" w:cs="Times New Roman"/>
          <w:b w:val="0"/>
          <w:bCs/>
          <w:color w:val="auto"/>
          <w:szCs w:val="21"/>
          <w:highlight w:val="none"/>
          <w:lang w:eastAsia="zh-CN"/>
        </w:rPr>
      </w:pPr>
      <w:r>
        <w:rPr>
          <w:rFonts w:hint="default" w:ascii="Times New Roman" w:hAnsi="Times New Roman" w:cs="Times New Roman"/>
          <w:b/>
          <w:bCs/>
          <w:color w:val="auto"/>
          <w:szCs w:val="20"/>
          <w:highlight w:val="none"/>
          <w:lang w:val="en-US" w:eastAsia="zh-CN"/>
        </w:rPr>
        <w:t>8.1.1</w:t>
      </w:r>
      <w:r>
        <w:rPr>
          <w:rFonts w:hint="default" w:ascii="Times New Roman" w:hAnsi="Times New Roman" w:cs="Times New Roman"/>
          <w:b w:val="0"/>
          <w:color w:val="auto"/>
          <w:szCs w:val="21"/>
          <w:highlight w:val="none"/>
        </w:rPr>
        <w:t xml:space="preserve"> </w:t>
      </w:r>
      <w:r>
        <w:rPr>
          <w:rFonts w:hint="default" w:ascii="Times New Roman" w:hAnsi="Times New Roman" w:cs="Times New Roman"/>
          <w:b w:val="0"/>
          <w:bCs/>
          <w:color w:val="auto"/>
          <w:szCs w:val="21"/>
          <w:highlight w:val="none"/>
          <w:lang w:eastAsia="zh-CN"/>
        </w:rPr>
        <w:t>外形</w:t>
      </w:r>
      <w:r>
        <w:rPr>
          <w:rFonts w:hint="default" w:ascii="Times New Roman" w:hAnsi="Times New Roman" w:cs="Times New Roman"/>
          <w:b w:val="0"/>
          <w:bCs/>
          <w:color w:val="auto"/>
          <w:szCs w:val="21"/>
          <w:highlight w:val="none"/>
        </w:rPr>
        <w:t>尺寸</w:t>
      </w:r>
      <w:r>
        <w:rPr>
          <w:rFonts w:hint="default" w:ascii="Times New Roman" w:hAnsi="Times New Roman" w:cs="Times New Roman"/>
          <w:b w:val="0"/>
          <w:bCs/>
          <w:color w:val="auto"/>
          <w:szCs w:val="21"/>
          <w:highlight w:val="none"/>
          <w:lang w:eastAsia="zh-CN"/>
        </w:rPr>
        <w:t>要求</w:t>
      </w:r>
    </w:p>
    <w:p>
      <w:pPr>
        <w:pStyle w:val="29"/>
        <w:ind w:firstLine="420" w:firstLineChars="2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变压器外形最大尺寸</w:t>
      </w:r>
      <w:r>
        <w:rPr>
          <w:rFonts w:hint="default" w:ascii="Times New Roman" w:hAnsi="Times New Roman" w:cs="Times New Roman"/>
          <w:color w:val="auto"/>
          <w:szCs w:val="21"/>
          <w:highlight w:val="none"/>
          <w:lang w:val="en-US" w:eastAsia="zh-CN"/>
        </w:rPr>
        <w:t>（不含外壳）</w:t>
      </w:r>
      <w:r>
        <w:rPr>
          <w:rFonts w:hint="default" w:ascii="Times New Roman" w:hAnsi="Times New Roman" w:eastAsia="宋体" w:cs="Times New Roman"/>
          <w:color w:val="auto"/>
          <w:szCs w:val="21"/>
          <w:highlight w:val="none"/>
          <w:lang w:val="en-US" w:eastAsia="zh-CN"/>
        </w:rPr>
        <w:t>应小于表</w:t>
      </w:r>
      <w:r>
        <w:rPr>
          <w:rFonts w:hint="default" w:ascii="Times New Roman" w:hAnsi="Times New Roman" w:cs="Times New Roman"/>
          <w:color w:val="auto"/>
          <w:szCs w:val="21"/>
          <w:highlight w:val="none"/>
          <w:lang w:val="en-US" w:eastAsia="zh-CN"/>
        </w:rPr>
        <w:t>8.1</w:t>
      </w:r>
      <w:r>
        <w:rPr>
          <w:rFonts w:hint="default" w:ascii="Times New Roman" w:hAnsi="Times New Roman" w:eastAsia="宋体" w:cs="Times New Roman"/>
          <w:color w:val="auto"/>
          <w:szCs w:val="21"/>
          <w:highlight w:val="none"/>
          <w:lang w:val="en-US" w:eastAsia="zh-CN"/>
        </w:rPr>
        <w:t>要求。</w:t>
      </w:r>
    </w:p>
    <w:p>
      <w:pPr>
        <w:pStyle w:val="29"/>
        <w:ind w:firstLine="0" w:firstLineChars="0"/>
        <w:jc w:val="center"/>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表</w:t>
      </w:r>
      <w:r>
        <w:rPr>
          <w:rFonts w:hint="default" w:ascii="Times New Roman" w:hAnsi="Times New Roman" w:cs="Times New Roman"/>
          <w:color w:val="auto"/>
          <w:szCs w:val="21"/>
          <w:highlight w:val="none"/>
          <w:lang w:val="en-US" w:eastAsia="zh-CN"/>
        </w:rPr>
        <w:t>8.1</w:t>
      </w:r>
      <w:r>
        <w:rPr>
          <w:rFonts w:hint="default" w:ascii="Times New Roman" w:hAnsi="Times New Roman" w:eastAsia="宋体" w:cs="Times New Roman"/>
          <w:color w:val="auto"/>
          <w:szCs w:val="21"/>
          <w:highlight w:val="none"/>
          <w:lang w:val="en-US" w:eastAsia="zh-CN"/>
        </w:rPr>
        <w:t xml:space="preserve"> 变压器外形最大尺寸值</w:t>
      </w:r>
    </w:p>
    <w:tbl>
      <w:tblPr>
        <w:tblStyle w:val="20"/>
        <w:tblW w:w="63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2394"/>
        <w:gridCol w:w="22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784" w:type="dxa"/>
            <w:vMerge w:val="restart"/>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容量（kVA）</w:t>
            </w:r>
          </w:p>
        </w:tc>
        <w:tc>
          <w:tcPr>
            <w:tcW w:w="4595" w:type="dxa"/>
            <w:gridSpan w:val="2"/>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铁心型式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784" w:type="dxa"/>
            <w:vMerge w:val="continue"/>
            <w:tcBorders>
              <w:tl2br w:val="nil"/>
              <w:tr2bl w:val="nil"/>
            </w:tcBorders>
            <w:vAlign w:val="center"/>
          </w:tcPr>
          <w:p>
            <w:pPr>
              <w:pStyle w:val="29"/>
              <w:jc w:val="center"/>
              <w:rPr>
                <w:rFonts w:hint="default" w:ascii="Times New Roman" w:hAnsi="Times New Roman" w:cs="Times New Roman"/>
                <w:color w:val="auto"/>
                <w:sz w:val="18"/>
                <w:szCs w:val="18"/>
                <w:highlight w:val="none"/>
                <w:vertAlign w:val="baseline"/>
                <w:lang w:val="en-US" w:eastAsia="zh-CN"/>
              </w:rPr>
            </w:pPr>
          </w:p>
        </w:tc>
        <w:tc>
          <w:tcPr>
            <w:tcW w:w="2394"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平面结构（mm）</w:t>
            </w:r>
          </w:p>
        </w:tc>
        <w:tc>
          <w:tcPr>
            <w:tcW w:w="2201"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立体结构（mm）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84" w:type="dxa"/>
            <w:tcBorders>
              <w:tl2br w:val="nil"/>
              <w:tr2bl w:val="nil"/>
            </w:tcBorders>
            <w:vAlign w:val="center"/>
          </w:tcPr>
          <w:p>
            <w:pPr>
              <w:pStyle w:val="29"/>
              <w:widowControl w:val="0"/>
              <w:ind w:firstLine="0" w:firstLineChars="0"/>
              <w:jc w:val="center"/>
              <w:rPr>
                <w:rFonts w:hint="default" w:ascii="Times New Roman" w:hAnsi="Times New Roman" w:cs="Times New Roman"/>
                <w:color w:val="auto"/>
                <w:sz w:val="18"/>
                <w:szCs w:val="18"/>
                <w:highlight w:val="yellow"/>
                <w:vertAlign w:val="baseline"/>
                <w:lang w:val="en-US" w:eastAsia="zh-CN"/>
              </w:rPr>
            </w:pPr>
            <w:r>
              <w:rPr>
                <w:rFonts w:hint="default" w:ascii="Times New Roman" w:hAnsi="Times New Roman" w:cs="Times New Roman"/>
                <w:sz w:val="18"/>
                <w:szCs w:val="18"/>
                <w:vertAlign w:val="baseline"/>
                <w:lang w:val="en-US" w:eastAsia="zh-CN"/>
              </w:rPr>
              <w:t>630</w:t>
            </w:r>
          </w:p>
        </w:tc>
        <w:tc>
          <w:tcPr>
            <w:tcW w:w="2394"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1900*1500*1700</w:t>
            </w:r>
          </w:p>
        </w:tc>
        <w:tc>
          <w:tcPr>
            <w:tcW w:w="2201"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2000*2000*1700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84" w:type="dxa"/>
            <w:tcBorders>
              <w:tl2br w:val="nil"/>
              <w:tr2bl w:val="nil"/>
            </w:tcBorders>
            <w:vAlign w:val="center"/>
          </w:tcPr>
          <w:p>
            <w:pPr>
              <w:pStyle w:val="29"/>
              <w:widowControl w:val="0"/>
              <w:ind w:firstLine="0" w:firstLineChars="0"/>
              <w:jc w:val="center"/>
              <w:rPr>
                <w:rFonts w:hint="default" w:ascii="Times New Roman" w:hAnsi="Times New Roman" w:cs="Times New Roman"/>
                <w:color w:val="auto"/>
                <w:sz w:val="18"/>
                <w:szCs w:val="18"/>
                <w:highlight w:val="yellow"/>
                <w:vertAlign w:val="baseline"/>
                <w:lang w:val="en-US" w:eastAsia="zh-CN"/>
              </w:rPr>
            </w:pPr>
            <w:r>
              <w:rPr>
                <w:rFonts w:hint="default" w:ascii="Times New Roman" w:hAnsi="Times New Roman" w:cs="Times New Roman"/>
                <w:sz w:val="18"/>
                <w:szCs w:val="18"/>
                <w:vertAlign w:val="baseline"/>
                <w:lang w:val="en-US" w:eastAsia="zh-CN"/>
              </w:rPr>
              <w:t>800</w:t>
            </w:r>
          </w:p>
        </w:tc>
        <w:tc>
          <w:tcPr>
            <w:tcW w:w="2394"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2000*1500*1800</w:t>
            </w:r>
          </w:p>
        </w:tc>
        <w:tc>
          <w:tcPr>
            <w:tcW w:w="2201"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2100*2100*1800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84" w:type="dxa"/>
            <w:tcBorders>
              <w:tl2br w:val="nil"/>
              <w:tr2bl w:val="nil"/>
            </w:tcBorders>
            <w:vAlign w:val="center"/>
          </w:tcPr>
          <w:p>
            <w:pPr>
              <w:pStyle w:val="29"/>
              <w:widowControl w:val="0"/>
              <w:ind w:firstLine="0" w:firstLineChars="0"/>
              <w:jc w:val="center"/>
              <w:rPr>
                <w:rFonts w:hint="default" w:ascii="Times New Roman" w:hAnsi="Times New Roman" w:cs="Times New Roman"/>
                <w:color w:val="auto"/>
                <w:sz w:val="18"/>
                <w:szCs w:val="18"/>
                <w:highlight w:val="yellow"/>
                <w:vertAlign w:val="baseline"/>
                <w:lang w:val="en-US" w:eastAsia="zh-CN"/>
              </w:rPr>
            </w:pPr>
            <w:r>
              <w:rPr>
                <w:rFonts w:hint="default" w:ascii="Times New Roman" w:hAnsi="Times New Roman" w:cs="Times New Roman"/>
                <w:sz w:val="18"/>
                <w:szCs w:val="18"/>
                <w:vertAlign w:val="baseline"/>
                <w:lang w:val="en-US" w:eastAsia="zh-CN"/>
              </w:rPr>
              <w:t>1250</w:t>
            </w:r>
          </w:p>
        </w:tc>
        <w:tc>
          <w:tcPr>
            <w:tcW w:w="2394"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2100*1600*1900</w:t>
            </w:r>
          </w:p>
        </w:tc>
        <w:tc>
          <w:tcPr>
            <w:tcW w:w="2201"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2100*2100*1900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784" w:type="dxa"/>
            <w:tcBorders>
              <w:tl2br w:val="nil"/>
              <w:tr2bl w:val="nil"/>
            </w:tcBorders>
            <w:vAlign w:val="center"/>
          </w:tcPr>
          <w:p>
            <w:pPr>
              <w:pStyle w:val="29"/>
              <w:widowControl w:val="0"/>
              <w:ind w:firstLine="0" w:firstLineChars="0"/>
              <w:jc w:val="center"/>
              <w:rPr>
                <w:rFonts w:hint="default" w:ascii="Times New Roman" w:hAnsi="Times New Roman" w:cs="Times New Roman"/>
                <w:color w:val="auto"/>
                <w:sz w:val="18"/>
                <w:szCs w:val="18"/>
                <w:highlight w:val="yellow"/>
                <w:vertAlign w:val="baseline"/>
                <w:lang w:val="en-US" w:eastAsia="zh-CN"/>
              </w:rPr>
            </w:pPr>
            <w:r>
              <w:rPr>
                <w:rFonts w:hint="default" w:ascii="Times New Roman" w:hAnsi="Times New Roman" w:cs="Times New Roman"/>
                <w:sz w:val="18"/>
                <w:szCs w:val="18"/>
                <w:vertAlign w:val="baseline"/>
                <w:lang w:val="en-US" w:eastAsia="zh-CN"/>
              </w:rPr>
              <w:t>1600</w:t>
            </w:r>
          </w:p>
        </w:tc>
        <w:tc>
          <w:tcPr>
            <w:tcW w:w="2394"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2200*1600*2000</w:t>
            </w:r>
          </w:p>
        </w:tc>
        <w:tc>
          <w:tcPr>
            <w:tcW w:w="2201" w:type="dxa"/>
            <w:tcBorders>
              <w:tl2br w:val="nil"/>
              <w:tr2bl w:val="nil"/>
            </w:tcBorders>
            <w:vAlign w:val="center"/>
          </w:tcPr>
          <w:p>
            <w:pPr>
              <w:pStyle w:val="29"/>
              <w:ind w:firstLine="0" w:firstLineChars="0"/>
              <w:jc w:val="center"/>
              <w:rPr>
                <w:rFonts w:hint="default" w:ascii="Times New Roman" w:hAnsi="Times New Roman" w:cs="Times New Roman"/>
                <w:color w:val="auto"/>
                <w:sz w:val="18"/>
                <w:szCs w:val="18"/>
                <w:highlight w:val="none"/>
                <w:vertAlign w:val="baseline"/>
                <w:lang w:val="en-US" w:eastAsia="zh-CN"/>
              </w:rPr>
            </w:pPr>
            <w:r>
              <w:rPr>
                <w:rFonts w:hint="default" w:ascii="Times New Roman" w:hAnsi="Times New Roman" w:cs="Times New Roman"/>
                <w:color w:val="auto"/>
                <w:sz w:val="18"/>
                <w:szCs w:val="18"/>
                <w:highlight w:val="none"/>
                <w:vertAlign w:val="baseline"/>
                <w:lang w:val="en-US" w:eastAsia="zh-CN"/>
              </w:rPr>
              <w:t>2200*2200*2000</w:t>
            </w:r>
          </w:p>
        </w:tc>
      </w:tr>
    </w:tbl>
    <w:p>
      <w:pPr>
        <w:pStyle w:val="35"/>
        <w:spacing w:line="360" w:lineRule="auto"/>
        <w:outlineLvl w:val="9"/>
        <w:rPr>
          <w:rFonts w:hint="default" w:ascii="Times New Roman" w:hAnsi="Times New Roman" w:cs="Times New Roman"/>
          <w:b w:val="0"/>
          <w:bCs/>
          <w:color w:val="auto"/>
          <w:highlight w:val="none"/>
        </w:rPr>
      </w:pPr>
      <w:r>
        <w:rPr>
          <w:rFonts w:hint="default" w:ascii="Times New Roman" w:hAnsi="Times New Roman" w:cs="Times New Roman"/>
          <w:bCs/>
          <w:color w:val="auto"/>
          <w:highlight w:val="none"/>
          <w:lang w:val="en-US" w:eastAsia="zh-CN"/>
        </w:rPr>
        <w:t>8</w:t>
      </w:r>
      <w:r>
        <w:rPr>
          <w:rFonts w:hint="default" w:ascii="Times New Roman" w:hAnsi="Times New Roman" w:cs="Times New Roman"/>
          <w:bCs/>
          <w:color w:val="auto"/>
          <w:highlight w:val="none"/>
        </w:rPr>
        <w:t>.1.</w:t>
      </w:r>
      <w:r>
        <w:rPr>
          <w:rFonts w:hint="default" w:ascii="Times New Roman" w:hAnsi="Times New Roman" w:cs="Times New Roman"/>
          <w:bCs/>
          <w:color w:val="auto"/>
          <w:highlight w:val="none"/>
          <w:lang w:val="en-US" w:eastAsia="zh-CN"/>
        </w:rPr>
        <w:t>2</w:t>
      </w:r>
      <w:r>
        <w:rPr>
          <w:rFonts w:hint="default" w:ascii="Times New Roman" w:hAnsi="Times New Roman" w:cs="Times New Roman"/>
          <w:b w:val="0"/>
          <w:color w:val="auto"/>
          <w:highlight w:val="none"/>
        </w:rPr>
        <w:t xml:space="preserve"> </w:t>
      </w:r>
      <w:r>
        <w:rPr>
          <w:rFonts w:hint="default" w:ascii="Times New Roman" w:hAnsi="Times New Roman" w:eastAsia="黑体" w:cs="Times New Roman"/>
          <w:b w:val="0"/>
          <w:bCs/>
          <w:color w:val="auto"/>
          <w:highlight w:val="none"/>
        </w:rPr>
        <w:t>安装尺寸</w:t>
      </w: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1）干式变压器与低压电缆连接的低压出线端子应采用L型铜排，其尺寸如图</w:t>
      </w:r>
      <w:r>
        <w:rPr>
          <w:rFonts w:hint="default" w:ascii="Times New Roman" w:hAnsi="Times New Roman" w:cs="Times New Roman"/>
          <w:color w:val="auto"/>
          <w:highlight w:val="none"/>
          <w:lang w:val="en-US" w:eastAsia="zh-CN"/>
        </w:rPr>
        <w:t>8</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所示，该铜排由变压器厂家加工制作。</w:t>
      </w:r>
    </w:p>
    <w:p>
      <w:pPr>
        <w:widowControl/>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drawing>
          <wp:inline distT="0" distB="0" distL="114300" distR="114300">
            <wp:extent cx="1831340" cy="1671320"/>
            <wp:effectExtent l="0" t="0" r="0" b="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24"/>
                    <a:srcRect l="47594" t="20065" r="35979" b="52165"/>
                    <a:stretch>
                      <a:fillRect/>
                    </a:stretch>
                  </pic:blipFill>
                  <pic:spPr>
                    <a:xfrm>
                      <a:off x="0" y="0"/>
                      <a:ext cx="1831340" cy="1671320"/>
                    </a:xfrm>
                    <a:prstGeom prst="rect">
                      <a:avLst/>
                    </a:prstGeom>
                    <a:noFill/>
                    <a:ln>
                      <a:noFill/>
                    </a:ln>
                  </pic:spPr>
                </pic:pic>
              </a:graphicData>
            </a:graphic>
          </wp:inline>
        </w:drawing>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723"/>
        <w:gridCol w:w="677"/>
        <w:gridCol w:w="646"/>
        <w:gridCol w:w="575"/>
        <w:gridCol w:w="623"/>
        <w:gridCol w:w="570"/>
        <w:gridCol w:w="584"/>
        <w:gridCol w:w="5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容量（kVA）</w:t>
            </w:r>
          </w:p>
        </w:tc>
        <w:tc>
          <w:tcPr>
            <w:tcW w:w="723"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图型</w:t>
            </w:r>
          </w:p>
        </w:tc>
        <w:tc>
          <w:tcPr>
            <w:tcW w:w="677"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r>
              <w:rPr>
                <w:rFonts w:hint="default" w:ascii="Times New Roman" w:hAnsi="Times New Roman" w:eastAsia="宋体" w:cs="Times New Roman"/>
                <w:color w:val="auto"/>
                <w:sz w:val="18"/>
                <w:highlight w:val="none"/>
                <w:vertAlign w:val="baseline"/>
              </w:rPr>
              <w:t>δ</w:t>
            </w:r>
          </w:p>
        </w:tc>
        <w:tc>
          <w:tcPr>
            <w:tcW w:w="646"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A</w:t>
            </w:r>
          </w:p>
        </w:tc>
        <w:tc>
          <w:tcPr>
            <w:tcW w:w="575"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C</w:t>
            </w:r>
          </w:p>
        </w:tc>
        <w:tc>
          <w:tcPr>
            <w:tcW w:w="623"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c1</w:t>
            </w:r>
          </w:p>
        </w:tc>
        <w:tc>
          <w:tcPr>
            <w:tcW w:w="570"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rPr>
            </w:pPr>
            <w:r>
              <w:rPr>
                <w:rFonts w:hint="default" w:ascii="Times New Roman" w:hAnsi="Times New Roman" w:cs="Times New Roman" w:eastAsiaTheme="minorEastAsia"/>
                <w:color w:val="auto"/>
                <w:sz w:val="18"/>
                <w:highlight w:val="none"/>
                <w:vertAlign w:val="baseline"/>
                <w:lang w:val="en-US" w:eastAsia="zh-CN"/>
              </w:rPr>
              <w:t>c2</w:t>
            </w:r>
          </w:p>
        </w:tc>
        <w:tc>
          <w:tcPr>
            <w:tcW w:w="584"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a1</w:t>
            </w:r>
          </w:p>
        </w:tc>
        <w:tc>
          <w:tcPr>
            <w:tcW w:w="546"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630</w:t>
            </w:r>
          </w:p>
        </w:tc>
        <w:tc>
          <w:tcPr>
            <w:tcW w:w="723"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C</w:t>
            </w:r>
          </w:p>
        </w:tc>
        <w:tc>
          <w:tcPr>
            <w:tcW w:w="677"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6</w:t>
            </w:r>
          </w:p>
        </w:tc>
        <w:tc>
          <w:tcPr>
            <w:tcW w:w="646"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60</w:t>
            </w:r>
          </w:p>
        </w:tc>
        <w:tc>
          <w:tcPr>
            <w:tcW w:w="575"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100</w:t>
            </w:r>
          </w:p>
        </w:tc>
        <w:tc>
          <w:tcPr>
            <w:tcW w:w="623"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15</w:t>
            </w:r>
          </w:p>
        </w:tc>
        <w:tc>
          <w:tcPr>
            <w:tcW w:w="570"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30</w:t>
            </w:r>
          </w:p>
        </w:tc>
        <w:tc>
          <w:tcPr>
            <w:tcW w:w="584"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30</w:t>
            </w:r>
          </w:p>
        </w:tc>
        <w:tc>
          <w:tcPr>
            <w:tcW w:w="546"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800</w:t>
            </w:r>
          </w:p>
        </w:tc>
        <w:tc>
          <w:tcPr>
            <w:tcW w:w="723"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C</w:t>
            </w:r>
          </w:p>
        </w:tc>
        <w:tc>
          <w:tcPr>
            <w:tcW w:w="677"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8</w:t>
            </w:r>
          </w:p>
        </w:tc>
        <w:tc>
          <w:tcPr>
            <w:tcW w:w="646"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80</w:t>
            </w:r>
          </w:p>
        </w:tc>
        <w:tc>
          <w:tcPr>
            <w:tcW w:w="575"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120</w:t>
            </w:r>
          </w:p>
        </w:tc>
        <w:tc>
          <w:tcPr>
            <w:tcW w:w="623"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20</w:t>
            </w:r>
          </w:p>
        </w:tc>
        <w:tc>
          <w:tcPr>
            <w:tcW w:w="570"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40</w:t>
            </w:r>
          </w:p>
        </w:tc>
        <w:tc>
          <w:tcPr>
            <w:tcW w:w="584"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40</w:t>
            </w:r>
          </w:p>
        </w:tc>
        <w:tc>
          <w:tcPr>
            <w:tcW w:w="546"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1000</w:t>
            </w:r>
          </w:p>
        </w:tc>
        <w:tc>
          <w:tcPr>
            <w:tcW w:w="723"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77"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46"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75"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23"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70"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84"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46"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1250</w:t>
            </w:r>
          </w:p>
        </w:tc>
        <w:tc>
          <w:tcPr>
            <w:tcW w:w="723"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C</w:t>
            </w:r>
          </w:p>
        </w:tc>
        <w:tc>
          <w:tcPr>
            <w:tcW w:w="677"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10</w:t>
            </w:r>
          </w:p>
        </w:tc>
        <w:tc>
          <w:tcPr>
            <w:tcW w:w="646"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100</w:t>
            </w:r>
          </w:p>
        </w:tc>
        <w:tc>
          <w:tcPr>
            <w:tcW w:w="575"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140</w:t>
            </w:r>
          </w:p>
        </w:tc>
        <w:tc>
          <w:tcPr>
            <w:tcW w:w="623"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25</w:t>
            </w:r>
          </w:p>
        </w:tc>
        <w:tc>
          <w:tcPr>
            <w:tcW w:w="570"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50</w:t>
            </w:r>
          </w:p>
        </w:tc>
        <w:tc>
          <w:tcPr>
            <w:tcW w:w="584"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50</w:t>
            </w:r>
          </w:p>
        </w:tc>
        <w:tc>
          <w:tcPr>
            <w:tcW w:w="546" w:type="dxa"/>
            <w:vMerge w:val="restart"/>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92" w:type="dxa"/>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lang w:val="en-US" w:eastAsia="zh-CN"/>
              </w:rPr>
            </w:pPr>
            <w:r>
              <w:rPr>
                <w:rFonts w:hint="default" w:ascii="Times New Roman" w:hAnsi="Times New Roman" w:cs="Times New Roman" w:eastAsiaTheme="minorEastAsia"/>
                <w:color w:val="auto"/>
                <w:sz w:val="18"/>
                <w:highlight w:val="none"/>
                <w:vertAlign w:val="baseline"/>
                <w:lang w:val="en-US" w:eastAsia="zh-CN"/>
              </w:rPr>
              <w:t>1600</w:t>
            </w:r>
          </w:p>
        </w:tc>
        <w:tc>
          <w:tcPr>
            <w:tcW w:w="723"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77"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46"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75"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623"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70"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84"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c>
          <w:tcPr>
            <w:tcW w:w="546" w:type="dxa"/>
            <w:vMerge w:val="continue"/>
            <w:tcBorders>
              <w:tl2br w:val="nil"/>
              <w:tr2bl w:val="nil"/>
            </w:tcBorders>
            <w:vAlign w:val="center"/>
          </w:tcPr>
          <w:p>
            <w:pPr>
              <w:widowControl/>
              <w:spacing w:line="360" w:lineRule="auto"/>
              <w:jc w:val="center"/>
              <w:rPr>
                <w:rFonts w:hint="default" w:ascii="Times New Roman" w:hAnsi="Times New Roman" w:cs="Times New Roman" w:eastAsiaTheme="minorEastAsia"/>
                <w:color w:val="auto"/>
                <w:sz w:val="18"/>
                <w:highlight w:val="none"/>
                <w:vertAlign w:val="baseline"/>
              </w:rPr>
            </w:pPr>
          </w:p>
        </w:tc>
      </w:tr>
    </w:tbl>
    <w:p>
      <w:pPr>
        <w:widowControl/>
        <w:spacing w:line="360" w:lineRule="auto"/>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图</w:t>
      </w:r>
      <w:r>
        <w:rPr>
          <w:rFonts w:hint="default" w:ascii="Times New Roman" w:hAnsi="Times New Roman" w:eastAsia="黑体" w:cs="Times New Roman"/>
          <w:color w:val="auto"/>
          <w:sz w:val="18"/>
          <w:highlight w:val="none"/>
          <w:lang w:val="en-US" w:eastAsia="zh-CN"/>
        </w:rPr>
        <w:t>8</w:t>
      </w:r>
      <w:r>
        <w:rPr>
          <w:rFonts w:hint="default" w:ascii="Times New Roman" w:hAnsi="Times New Roman" w:eastAsia="黑体" w:cs="Times New Roman"/>
          <w:color w:val="auto"/>
          <w:sz w:val="18"/>
          <w:highlight w:val="none"/>
        </w:rPr>
        <w:t>.</w:t>
      </w:r>
      <w:r>
        <w:rPr>
          <w:rFonts w:hint="default" w:ascii="Times New Roman" w:hAnsi="Times New Roman" w:eastAsia="黑体" w:cs="Times New Roman"/>
          <w:color w:val="auto"/>
          <w:sz w:val="18"/>
          <w:highlight w:val="none"/>
          <w:lang w:val="en-US" w:eastAsia="zh-CN"/>
        </w:rPr>
        <w:t>2</w:t>
      </w:r>
      <w:r>
        <w:rPr>
          <w:rFonts w:hint="default" w:ascii="Times New Roman" w:hAnsi="Times New Roman" w:eastAsia="黑体" w:cs="Times New Roman"/>
          <w:color w:val="auto"/>
          <w:sz w:val="18"/>
          <w:highlight w:val="none"/>
        </w:rPr>
        <w:t xml:space="preserve">  低压出线L型连接铜排</w:t>
      </w:r>
    </w:p>
    <w:p>
      <w:pPr>
        <w:widowControl/>
        <w:jc w:val="center"/>
        <w:rPr>
          <w:rFonts w:hint="default" w:ascii="Times New Roman" w:hAnsi="Times New Roman" w:eastAsia="黑体" w:cs="Times New Roman"/>
          <w:color w:val="auto"/>
          <w:sz w:val="18"/>
          <w:highlight w:val="none"/>
        </w:rPr>
      </w:pPr>
    </w:p>
    <w:p>
      <w:pPr>
        <w:widowControl/>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2）干式变压器安装尺寸如表</w:t>
      </w:r>
      <w:r>
        <w:rPr>
          <w:rFonts w:hint="default" w:ascii="Times New Roman" w:hAnsi="Times New Roman" w:cs="Times New Roman"/>
          <w:color w:val="auto"/>
          <w:highlight w:val="none"/>
          <w:lang w:val="en-US" w:eastAsia="zh-CN"/>
        </w:rPr>
        <w:t>8.2</w:t>
      </w:r>
      <w:r>
        <w:rPr>
          <w:rFonts w:hint="default" w:ascii="Times New Roman" w:hAnsi="Times New Roman" w:cs="Times New Roman"/>
          <w:color w:val="auto"/>
          <w:highlight w:val="none"/>
        </w:rPr>
        <w:t>所示。</w:t>
      </w:r>
    </w:p>
    <w:p>
      <w:pPr>
        <w:widowControl/>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表</w:t>
      </w:r>
      <w:r>
        <w:rPr>
          <w:rFonts w:hint="default" w:ascii="Times New Roman" w:hAnsi="Times New Roman" w:eastAsia="黑体" w:cs="Times New Roman"/>
          <w:color w:val="auto"/>
          <w:sz w:val="18"/>
          <w:highlight w:val="none"/>
          <w:lang w:val="en-US" w:eastAsia="zh-CN"/>
        </w:rPr>
        <w:t>8.2</w:t>
      </w:r>
      <w:r>
        <w:rPr>
          <w:rFonts w:hint="default" w:ascii="Times New Roman" w:hAnsi="Times New Roman" w:eastAsia="黑体" w:cs="Times New Roman"/>
          <w:color w:val="auto"/>
          <w:sz w:val="18"/>
          <w:highlight w:val="none"/>
        </w:rPr>
        <w:t>干式变压器安装尺寸</w:t>
      </w:r>
    </w:p>
    <w:tbl>
      <w:tblPr>
        <w:tblStyle w:val="19"/>
        <w:tblW w:w="70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1"/>
        <w:gridCol w:w="2995"/>
        <w:gridCol w:w="31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7" w:hRule="atLeast"/>
          <w:jc w:val="center"/>
        </w:trPr>
        <w:tc>
          <w:tcPr>
            <w:tcW w:w="911" w:type="dxa"/>
            <w:tcMar>
              <w:top w:w="0" w:type="dxa"/>
              <w:left w:w="57" w:type="dxa"/>
              <w:bottom w:w="0" w:type="dxa"/>
              <w:right w:w="57" w:type="dxa"/>
            </w:tcMar>
            <w:vAlign w:val="center"/>
          </w:tcPr>
          <w:p>
            <w:pPr>
              <w:widowControl/>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容量</w:t>
            </w:r>
          </w:p>
        </w:tc>
        <w:tc>
          <w:tcPr>
            <w:tcW w:w="2995" w:type="dxa"/>
            <w:vAlign w:val="center"/>
          </w:tcPr>
          <w:p>
            <w:pPr>
              <w:widowControl/>
              <w:ind w:right="42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630kVA、800kVA</w:t>
            </w:r>
          </w:p>
        </w:tc>
        <w:tc>
          <w:tcPr>
            <w:tcW w:w="3134" w:type="dxa"/>
            <w:vAlign w:val="center"/>
          </w:tcPr>
          <w:p>
            <w:pPr>
              <w:widowControl/>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1250kVA、1600kVA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9" w:hRule="atLeast"/>
          <w:jc w:val="center"/>
        </w:trPr>
        <w:tc>
          <w:tcPr>
            <w:tcW w:w="911" w:type="dxa"/>
            <w:tcMar>
              <w:top w:w="0" w:type="dxa"/>
              <w:left w:w="57" w:type="dxa"/>
              <w:bottom w:w="0" w:type="dxa"/>
              <w:right w:w="57" w:type="dxa"/>
            </w:tcMar>
            <w:vAlign w:val="center"/>
          </w:tcPr>
          <w:p>
            <w:pPr>
              <w:widowControl/>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方式</w:t>
            </w:r>
          </w:p>
        </w:tc>
        <w:tc>
          <w:tcPr>
            <w:tcW w:w="2995" w:type="dxa"/>
            <w:vAlign w:val="center"/>
          </w:tcPr>
          <w:p>
            <w:pPr>
              <w:widowControl/>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四块12#槽钢两两背对背</w:t>
            </w:r>
          </w:p>
          <w:p>
            <w:pPr>
              <w:widowControl/>
              <w:ind w:firstLine="360" w:firstLineChars="20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8个直径19mm螺孔</w:t>
            </w:r>
          </w:p>
          <w:p>
            <w:pPr>
              <w:widowControl/>
              <w:ind w:firstLine="360" w:firstLineChars="20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660mm×1070mm</w:t>
            </w:r>
          </w:p>
        </w:tc>
        <w:tc>
          <w:tcPr>
            <w:tcW w:w="3134" w:type="dxa"/>
            <w:vAlign w:val="center"/>
          </w:tcPr>
          <w:p>
            <w:pPr>
              <w:widowControl/>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四块12#槽钢两两背对背</w:t>
            </w:r>
          </w:p>
          <w:p>
            <w:pPr>
              <w:widowControl/>
              <w:ind w:firstLine="360" w:firstLineChars="20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8个直径19mm螺孔</w:t>
            </w:r>
          </w:p>
          <w:p>
            <w:pPr>
              <w:widowControl/>
              <w:ind w:firstLine="360" w:firstLineChars="200"/>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820mm×1070mm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2" w:hRule="atLeast"/>
          <w:jc w:val="center"/>
        </w:trPr>
        <w:tc>
          <w:tcPr>
            <w:tcW w:w="911" w:type="dxa"/>
            <w:tcMar>
              <w:top w:w="0" w:type="dxa"/>
              <w:left w:w="57" w:type="dxa"/>
              <w:bottom w:w="0" w:type="dxa"/>
              <w:right w:w="57" w:type="dxa"/>
            </w:tcMar>
            <w:vAlign w:val="center"/>
          </w:tcPr>
          <w:p>
            <w:pPr>
              <w:widowControl/>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图纸</w:t>
            </w:r>
          </w:p>
        </w:tc>
        <w:tc>
          <w:tcPr>
            <w:tcW w:w="2995" w:type="dxa"/>
            <w:vAlign w:val="center"/>
          </w:tcPr>
          <w:p>
            <w:pPr>
              <w:widowControl/>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drawing>
                <wp:inline distT="0" distB="0" distL="114300" distR="114300">
                  <wp:extent cx="1209675" cy="1802765"/>
                  <wp:effectExtent l="0" t="0" r="9525" b="6985"/>
                  <wp:docPr id="16" name="图片 10" descr="xi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xin3"/>
                          <pic:cNvPicPr>
                            <a:picLocks noChangeAspect="1"/>
                          </pic:cNvPicPr>
                        </pic:nvPicPr>
                        <pic:blipFill>
                          <a:blip r:embed="rId25"/>
                          <a:stretch>
                            <a:fillRect/>
                          </a:stretch>
                        </pic:blipFill>
                        <pic:spPr>
                          <a:xfrm>
                            <a:off x="0" y="0"/>
                            <a:ext cx="1209675" cy="1802765"/>
                          </a:xfrm>
                          <a:prstGeom prst="rect">
                            <a:avLst/>
                          </a:prstGeom>
                          <a:noFill/>
                          <a:ln w="9525">
                            <a:noFill/>
                          </a:ln>
                        </pic:spPr>
                      </pic:pic>
                    </a:graphicData>
                  </a:graphic>
                </wp:inline>
              </w:drawing>
            </w:r>
          </w:p>
        </w:tc>
        <w:tc>
          <w:tcPr>
            <w:tcW w:w="3134" w:type="dxa"/>
            <w:vAlign w:val="center"/>
          </w:tcPr>
          <w:p>
            <w:pPr>
              <w:widowControl/>
              <w:spacing w:line="360" w:lineRule="auto"/>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drawing>
                <wp:inline distT="0" distB="0" distL="114300" distR="114300">
                  <wp:extent cx="1416050" cy="1827530"/>
                  <wp:effectExtent l="0" t="0" r="12700" b="1270"/>
                  <wp:docPr id="18" name="图片 11" descr="xi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descr="xin4"/>
                          <pic:cNvPicPr>
                            <a:picLocks noChangeAspect="1"/>
                          </pic:cNvPicPr>
                        </pic:nvPicPr>
                        <pic:blipFill>
                          <a:blip r:embed="rId26"/>
                          <a:stretch>
                            <a:fillRect/>
                          </a:stretch>
                        </pic:blipFill>
                        <pic:spPr>
                          <a:xfrm>
                            <a:off x="0" y="0"/>
                            <a:ext cx="1416050" cy="1827530"/>
                          </a:xfrm>
                          <a:prstGeom prst="rect">
                            <a:avLst/>
                          </a:prstGeom>
                          <a:noFill/>
                          <a:ln w="9525">
                            <a:noFill/>
                          </a:ln>
                        </pic:spPr>
                      </pic:pic>
                    </a:graphicData>
                  </a:graphic>
                </wp:inline>
              </w:drawing>
            </w:r>
          </w:p>
        </w:tc>
      </w:tr>
    </w:tbl>
    <w:p>
      <w:pPr>
        <w:pStyle w:val="29"/>
        <w:ind w:firstLine="0" w:firstLineChars="0"/>
        <w:rPr>
          <w:rFonts w:hint="default" w:ascii="Times New Roman" w:hAnsi="Times New Roman" w:cs="Times New Roman"/>
          <w:color w:val="auto"/>
          <w:highlight w:val="none"/>
        </w:rPr>
      </w:pPr>
    </w:p>
    <w:p>
      <w:pPr>
        <w:pStyle w:val="35"/>
        <w:spacing w:line="360" w:lineRule="auto"/>
        <w:outlineLvl w:val="9"/>
        <w:rPr>
          <w:rFonts w:hint="default" w:ascii="Times New Roman" w:hAnsi="Times New Roman" w:cs="Times New Roman"/>
          <w:b w:val="0"/>
          <w:color w:val="auto"/>
          <w:highlight w:val="none"/>
        </w:rPr>
      </w:pPr>
      <w:r>
        <w:rPr>
          <w:rFonts w:hint="default" w:ascii="Times New Roman" w:hAnsi="Times New Roman" w:cs="Times New Roman"/>
          <w:bCs/>
          <w:color w:val="auto"/>
          <w:highlight w:val="none"/>
          <w:lang w:val="en-US" w:eastAsia="zh-CN"/>
        </w:rPr>
        <w:t>8</w:t>
      </w:r>
      <w:r>
        <w:rPr>
          <w:rFonts w:hint="default" w:ascii="Times New Roman" w:hAnsi="Times New Roman" w:cs="Times New Roman"/>
          <w:bCs/>
          <w:color w:val="auto"/>
          <w:highlight w:val="none"/>
        </w:rPr>
        <w:t>.1.</w:t>
      </w:r>
      <w:r>
        <w:rPr>
          <w:rFonts w:hint="default" w:ascii="Times New Roman" w:hAnsi="Times New Roman" w:cs="Times New Roman"/>
          <w:bCs/>
          <w:color w:val="auto"/>
          <w:highlight w:val="none"/>
          <w:lang w:val="en-US" w:eastAsia="zh-CN"/>
        </w:rPr>
        <w:t>3</w:t>
      </w:r>
      <w:r>
        <w:rPr>
          <w:rFonts w:hint="default" w:ascii="Times New Roman" w:hAnsi="Times New Roman" w:cs="Times New Roman"/>
          <w:bCs/>
          <w:color w:val="auto"/>
          <w:highlight w:val="none"/>
        </w:rPr>
        <w:t xml:space="preserve"> </w:t>
      </w:r>
      <w:r>
        <w:rPr>
          <w:rFonts w:hint="default" w:ascii="Times New Roman" w:hAnsi="Times New Roman" w:cs="Times New Roman"/>
          <w:b w:val="0"/>
          <w:color w:val="auto"/>
          <w:highlight w:val="none"/>
        </w:rPr>
        <w:t>接地</w:t>
      </w:r>
    </w:p>
    <w:p>
      <w:pPr>
        <w:autoSpaceDE w:val="0"/>
        <w:autoSpaceDN w:val="0"/>
        <w:adjustRightInd w:val="0"/>
        <w:ind w:firstLine="424" w:firstLineChars="202"/>
        <w:jc w:val="left"/>
        <w:rPr>
          <w:rFonts w:hint="default" w:ascii="Times New Roman" w:hAnsi="Times New Roman" w:eastAsia="EU-F1" w:cs="Times New Roman"/>
          <w:color w:val="auto"/>
          <w:kern w:val="0"/>
          <w:sz w:val="20"/>
          <w:szCs w:val="20"/>
          <w:highlight w:val="none"/>
        </w:rPr>
      </w:pPr>
      <w:r>
        <w:rPr>
          <w:rFonts w:hint="default" w:ascii="Times New Roman" w:hAnsi="Times New Roman" w:cs="Times New Roman"/>
          <w:color w:val="auto"/>
          <w:kern w:val="0"/>
          <w:szCs w:val="21"/>
          <w:highlight w:val="none"/>
        </w:rPr>
        <w:t>干式变压器的接地装置应有防锈层及明显的接线标志。</w:t>
      </w:r>
    </w:p>
    <w:p>
      <w:pPr>
        <w:pStyle w:val="25"/>
        <w:rPr>
          <w:rFonts w:hint="default" w:ascii="Times New Roman" w:hAnsi="Times New Roman" w:cs="Times New Roman"/>
          <w:color w:val="auto"/>
          <w:highlight w:val="none"/>
        </w:rPr>
      </w:pPr>
      <w:bookmarkStart w:id="370" w:name="_Toc31011"/>
      <w:bookmarkStart w:id="371" w:name="_Toc30853"/>
      <w:bookmarkStart w:id="372" w:name="_Toc13421"/>
      <w:r>
        <w:rPr>
          <w:rFonts w:hint="default" w:ascii="Times New Roman" w:hAnsi="Times New Roman" w:cs="Times New Roman"/>
          <w:b/>
          <w:bCs/>
          <w:color w:val="auto"/>
          <w:highlight w:val="none"/>
          <w:lang w:val="en-US" w:eastAsia="zh-CN"/>
        </w:rPr>
        <w:t>8</w:t>
      </w: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电气二次接口</w:t>
      </w:r>
      <w:bookmarkEnd w:id="370"/>
      <w:bookmarkEnd w:id="371"/>
      <w:bookmarkEnd w:id="372"/>
    </w:p>
    <w:p>
      <w:pPr>
        <w:pStyle w:val="29"/>
        <w:spacing w:line="360" w:lineRule="auto"/>
        <w:ind w:firstLine="420"/>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highlight w:val="none"/>
        </w:rPr>
        <w:t>1）干式变压器状态量监测装置。干式变压器状态量监测装置用于跳闸和报警，变压器应有超温报警和超温跳闸功能，见表</w:t>
      </w:r>
      <w:r>
        <w:rPr>
          <w:rFonts w:hint="default" w:ascii="Times New Roman" w:hAnsi="Times New Roman" w:cs="Times New Roman"/>
          <w:color w:val="auto"/>
          <w:highlight w:val="none"/>
          <w:lang w:val="en-US" w:eastAsia="zh-CN"/>
        </w:rPr>
        <w:t>8.3</w:t>
      </w:r>
    </w:p>
    <w:p>
      <w:pPr>
        <w:pStyle w:val="29"/>
        <w:ind w:firstLine="0" w:firstLineChars="0"/>
        <w:rPr>
          <w:rFonts w:hint="default" w:ascii="Times New Roman" w:hAnsi="Times New Roman" w:cs="Times New Roman"/>
          <w:color w:val="auto"/>
          <w:highlight w:val="none"/>
        </w:rPr>
      </w:pPr>
    </w:p>
    <w:p>
      <w:pPr>
        <w:widowControl/>
        <w:jc w:val="center"/>
        <w:rPr>
          <w:rFonts w:hint="default" w:ascii="Times New Roman" w:hAnsi="Times New Roman" w:eastAsia="黑体" w:cs="Times New Roman"/>
          <w:color w:val="auto"/>
          <w:sz w:val="18"/>
          <w:highlight w:val="none"/>
        </w:rPr>
      </w:pPr>
      <w:r>
        <w:rPr>
          <w:rFonts w:hint="default" w:ascii="Times New Roman" w:hAnsi="Times New Roman" w:eastAsia="黑体" w:cs="Times New Roman"/>
          <w:color w:val="auto"/>
          <w:sz w:val="18"/>
          <w:highlight w:val="none"/>
        </w:rPr>
        <w:t>表</w:t>
      </w:r>
      <w:r>
        <w:rPr>
          <w:rFonts w:hint="default" w:ascii="Times New Roman" w:hAnsi="Times New Roman" w:eastAsia="黑体" w:cs="Times New Roman"/>
          <w:color w:val="auto"/>
          <w:sz w:val="18"/>
          <w:highlight w:val="none"/>
          <w:lang w:val="en-US" w:eastAsia="zh-CN"/>
        </w:rPr>
        <w:t>8.3</w:t>
      </w:r>
      <w:r>
        <w:rPr>
          <w:rFonts w:hint="default" w:ascii="Times New Roman" w:hAnsi="Times New Roman" w:eastAsia="黑体" w:cs="Times New Roman"/>
          <w:color w:val="auto"/>
          <w:sz w:val="18"/>
          <w:highlight w:val="none"/>
        </w:rPr>
        <w:t xml:space="preserve"> 干式变压器状态量监测装置</w:t>
      </w:r>
    </w:p>
    <w:tbl>
      <w:tblPr>
        <w:tblStyle w:val="19"/>
        <w:tblW w:w="74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815"/>
        <w:gridCol w:w="1371"/>
        <w:gridCol w:w="1786"/>
        <w:gridCol w:w="17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0"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序号</w:t>
            </w:r>
          </w:p>
        </w:tc>
        <w:tc>
          <w:tcPr>
            <w:tcW w:w="1815"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保护名称</w:t>
            </w:r>
          </w:p>
        </w:tc>
        <w:tc>
          <w:tcPr>
            <w:tcW w:w="1371"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接点内容</w:t>
            </w:r>
          </w:p>
        </w:tc>
        <w:tc>
          <w:tcPr>
            <w:tcW w:w="1786"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电源及触点容量</w:t>
            </w:r>
          </w:p>
        </w:tc>
        <w:tc>
          <w:tcPr>
            <w:tcW w:w="1787"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触点数量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tcBorders>
              <w:tl2br w:val="nil"/>
              <w:tr2bl w:val="nil"/>
            </w:tcBorders>
            <w:vAlign w:val="center"/>
          </w:tcPr>
          <w:p>
            <w:pPr>
              <w:pStyle w:val="29"/>
              <w:ind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1</w:t>
            </w:r>
          </w:p>
        </w:tc>
        <w:tc>
          <w:tcPr>
            <w:tcW w:w="1815" w:type="dxa"/>
            <w:tcBorders>
              <w:tl2br w:val="nil"/>
              <w:tr2bl w:val="nil"/>
            </w:tcBorders>
            <w:vAlign w:val="center"/>
          </w:tcPr>
          <w:p>
            <w:pPr>
              <w:pStyle w:val="29"/>
              <w:ind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状态量监测装置</w:t>
            </w:r>
          </w:p>
        </w:tc>
        <w:tc>
          <w:tcPr>
            <w:tcW w:w="1371" w:type="dxa"/>
            <w:tcBorders>
              <w:tl2br w:val="nil"/>
              <w:tr2bl w:val="nil"/>
            </w:tcBorders>
            <w:vAlign w:val="center"/>
          </w:tcPr>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报警或跳闸</w:t>
            </w:r>
          </w:p>
        </w:tc>
        <w:tc>
          <w:tcPr>
            <w:tcW w:w="1786" w:type="dxa"/>
            <w:tcBorders>
              <w:tl2br w:val="nil"/>
              <w:tr2bl w:val="nil"/>
            </w:tcBorders>
            <w:vAlign w:val="center"/>
          </w:tcPr>
          <w:p>
            <w:pPr>
              <w:pStyle w:val="29"/>
              <w:ind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AC 2</w:t>
            </w:r>
            <w:r>
              <w:rPr>
                <w:rFonts w:hint="default" w:ascii="Times New Roman" w:hAnsi="Times New Roman" w:cs="Times New Roman"/>
                <w:color w:val="auto"/>
                <w:highlight w:val="none"/>
                <w:lang w:val="en-US" w:eastAsia="zh-CN"/>
              </w:rPr>
              <w:t>2</w:t>
            </w:r>
            <w:r>
              <w:rPr>
                <w:rFonts w:hint="default" w:ascii="Times New Roman" w:hAnsi="Times New Roman" w:cs="Times New Roman"/>
                <w:color w:val="auto"/>
                <w:highlight w:val="none"/>
              </w:rPr>
              <w:t>0V/110V</w:t>
            </w:r>
          </w:p>
          <w:p>
            <w:pPr>
              <w:pStyle w:val="29"/>
              <w:ind w:firstLine="0" w:firstLineChars="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2.5A/5A</w:t>
            </w:r>
          </w:p>
        </w:tc>
        <w:tc>
          <w:tcPr>
            <w:tcW w:w="1787" w:type="dxa"/>
            <w:tcBorders>
              <w:tl2br w:val="nil"/>
              <w:tr2bl w:val="nil"/>
            </w:tcBorders>
            <w:vAlign w:val="center"/>
          </w:tcPr>
          <w:p>
            <w:pPr>
              <w:autoSpaceDE w:val="0"/>
              <w:autoSpaceDN w:val="0"/>
              <w:adjustRightInd w:val="0"/>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报警</w:t>
            </w:r>
            <w:r>
              <w:rPr>
                <w:rFonts w:hint="default" w:ascii="Times New Roman" w:hAnsi="Times New Roman" w:eastAsia="TimesNewRoman" w:cs="Times New Roman"/>
                <w:color w:val="auto"/>
                <w:kern w:val="0"/>
                <w:sz w:val="18"/>
                <w:szCs w:val="18"/>
                <w:highlight w:val="none"/>
              </w:rPr>
              <w:t>1</w:t>
            </w:r>
            <w:r>
              <w:rPr>
                <w:rFonts w:hint="default" w:ascii="Times New Roman" w:hAnsi="Times New Roman" w:cs="Times New Roman"/>
                <w:color w:val="auto"/>
                <w:kern w:val="0"/>
                <w:sz w:val="18"/>
                <w:szCs w:val="18"/>
                <w:highlight w:val="none"/>
              </w:rPr>
              <w:t>对</w:t>
            </w:r>
          </w:p>
          <w:p>
            <w:pPr>
              <w:autoSpaceDE w:val="0"/>
              <w:autoSpaceDN w:val="0"/>
              <w:adjustRightInd w:val="0"/>
              <w:jc w:val="center"/>
              <w:rPr>
                <w:rFonts w:hint="default" w:ascii="Times New Roman" w:hAnsi="Times New Roman" w:cs="Times New Roman"/>
                <w:color w:val="auto"/>
                <w:highlight w:val="none"/>
              </w:rPr>
            </w:pPr>
            <w:r>
              <w:rPr>
                <w:rFonts w:hint="default" w:ascii="Times New Roman" w:hAnsi="Times New Roman" w:cs="Times New Roman"/>
                <w:color w:val="auto"/>
                <w:kern w:val="0"/>
                <w:sz w:val="18"/>
                <w:szCs w:val="18"/>
                <w:highlight w:val="none"/>
              </w:rPr>
              <w:t>跳闸</w:t>
            </w:r>
            <w:r>
              <w:rPr>
                <w:rFonts w:hint="default" w:ascii="Times New Roman" w:hAnsi="Times New Roman" w:eastAsia="TimesNewRoman" w:cs="Times New Roman"/>
                <w:color w:val="auto"/>
                <w:kern w:val="0"/>
                <w:sz w:val="18"/>
                <w:szCs w:val="18"/>
                <w:highlight w:val="none"/>
              </w:rPr>
              <w:t>1</w:t>
            </w:r>
            <w:r>
              <w:rPr>
                <w:rFonts w:hint="default" w:ascii="Times New Roman" w:hAnsi="Times New Roman" w:cs="Times New Roman"/>
                <w:color w:val="auto"/>
                <w:kern w:val="0"/>
                <w:sz w:val="18"/>
                <w:szCs w:val="18"/>
                <w:highlight w:val="none"/>
              </w:rPr>
              <w:t>对</w:t>
            </w:r>
          </w:p>
        </w:tc>
      </w:tr>
    </w:tbl>
    <w:p>
      <w:pPr>
        <w:pStyle w:val="29"/>
        <w:ind w:firstLine="0" w:firstLineChars="0"/>
        <w:rPr>
          <w:rFonts w:hint="default" w:ascii="Times New Roman" w:hAnsi="Times New Roman" w:cs="Times New Roman"/>
          <w:color w:val="auto"/>
          <w:highlight w:val="none"/>
        </w:rPr>
      </w:pP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2）干式变压器冷却装置。</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a） 变压器的冷却装置应按负载和温升情况，自动投切。</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b） 变压器过负荷及温度异常由变压器状态监测装置启动风机。</w:t>
      </w:r>
    </w:p>
    <w:p>
      <w:pPr>
        <w:pStyle w:val="25"/>
        <w:spacing w:line="360" w:lineRule="auto"/>
        <w:rPr>
          <w:rFonts w:hint="default" w:ascii="Times New Roman" w:hAnsi="Times New Roman" w:cs="Times New Roman"/>
          <w:color w:val="auto"/>
          <w:highlight w:val="none"/>
        </w:rPr>
      </w:pPr>
      <w:bookmarkStart w:id="373" w:name="_Toc31365"/>
      <w:bookmarkStart w:id="374" w:name="_Toc5047"/>
      <w:bookmarkStart w:id="375" w:name="_Toc28950"/>
      <w:r>
        <w:rPr>
          <w:rFonts w:hint="default" w:ascii="Times New Roman" w:hAnsi="Times New Roman" w:cs="Times New Roman"/>
          <w:b/>
          <w:bCs/>
          <w:color w:val="auto"/>
          <w:highlight w:val="none"/>
          <w:lang w:val="en-US" w:eastAsia="zh-CN"/>
        </w:rPr>
        <w:t>8</w:t>
      </w: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土建接口</w:t>
      </w:r>
      <w:bookmarkEnd w:id="373"/>
      <w:bookmarkEnd w:id="374"/>
      <w:bookmarkEnd w:id="375"/>
    </w:p>
    <w:p>
      <w:pPr>
        <w:autoSpaceDE w:val="0"/>
        <w:autoSpaceDN w:val="0"/>
        <w:adjustRightInd w:val="0"/>
        <w:spacing w:line="360" w:lineRule="auto"/>
        <w:ind w:firstLine="424" w:firstLineChars="202"/>
        <w:jc w:val="left"/>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各制造厂同容量变压器外形差异较大，考虑基础通用要求。变压器应装有底脚，其上应设有安装用的定位孔，孔中心距（横向尺寸）为400、550、660、820、1070mm。如对纵向尺寸有要求，也可按横向尺寸数值选取。</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default" w:ascii="Times New Roman" w:hAnsi="Times New Roman" w:cs="Times New Roman"/>
          <w:color w:val="auto"/>
          <w:kern w:val="0"/>
          <w:szCs w:val="21"/>
          <w:highlight w:val="none"/>
        </w:rPr>
      </w:pPr>
      <w:r>
        <w:rPr>
          <w:rFonts w:hint="default" w:ascii="Times New Roman" w:hAnsi="Times New Roman" w:cs="Times New Roman"/>
          <w:color w:val="auto"/>
          <w:kern w:val="0"/>
          <w:szCs w:val="21"/>
          <w:highlight w:val="none"/>
        </w:rPr>
        <w:t>基础上预埋钢板，变压器底座固定在基础的预埋钢板上，如图</w:t>
      </w:r>
      <w:r>
        <w:rPr>
          <w:rFonts w:hint="default" w:ascii="Times New Roman" w:hAnsi="Times New Roman" w:cs="Times New Roman"/>
          <w:color w:val="auto"/>
          <w:kern w:val="0"/>
          <w:szCs w:val="21"/>
          <w:highlight w:val="none"/>
          <w:lang w:val="en-US" w:eastAsia="zh-CN"/>
        </w:rPr>
        <w:t>8.3</w:t>
      </w:r>
      <w:r>
        <w:rPr>
          <w:rFonts w:hint="default" w:ascii="Times New Roman" w:hAnsi="Times New Roman" w:cs="Times New Roman"/>
          <w:color w:val="auto"/>
          <w:kern w:val="0"/>
          <w:szCs w:val="21"/>
          <w:highlight w:val="none"/>
        </w:rPr>
        <w:t xml:space="preserve"> 所示。</w:t>
      </w:r>
    </w:p>
    <w:p>
      <w:pPr>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114300" distR="114300">
            <wp:extent cx="4250690" cy="2609850"/>
            <wp:effectExtent l="0" t="0" r="16510" b="0"/>
            <wp:docPr id="1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6"/>
                    <pic:cNvPicPr>
                      <a:picLocks noChangeAspect="1"/>
                    </pic:cNvPicPr>
                  </pic:nvPicPr>
                  <pic:blipFill>
                    <a:blip r:embed="rId27"/>
                    <a:stretch>
                      <a:fillRect/>
                    </a:stretch>
                  </pic:blipFill>
                  <pic:spPr>
                    <a:xfrm>
                      <a:off x="0" y="0"/>
                      <a:ext cx="4250690" cy="2609850"/>
                    </a:xfrm>
                    <a:prstGeom prst="rect">
                      <a:avLst/>
                    </a:prstGeom>
                    <a:noFill/>
                    <a:ln w="9525">
                      <a:noFill/>
                    </a:ln>
                  </pic:spPr>
                </pic:pic>
              </a:graphicData>
            </a:graphic>
          </wp:inline>
        </w:drawing>
      </w:r>
    </w:p>
    <w:p>
      <w:pPr>
        <w:jc w:val="center"/>
        <w:outlineLvl w:val="9"/>
        <w:rPr>
          <w:rFonts w:hint="default" w:ascii="Times New Roman" w:hAnsi="Times New Roman" w:eastAsia="宋体" w:cs="Times New Roman"/>
          <w:color w:val="auto"/>
          <w:kern w:val="0"/>
          <w:szCs w:val="21"/>
          <w:highlight w:val="none"/>
          <w:lang w:val="en-US" w:eastAsia="zh-CN"/>
        </w:rPr>
      </w:pPr>
      <w:r>
        <w:rPr>
          <w:rFonts w:hint="default" w:ascii="Times New Roman" w:hAnsi="Times New Roman" w:eastAsia="宋体" w:cs="Times New Roman"/>
          <w:color w:val="auto"/>
          <w:kern w:val="0"/>
          <w:szCs w:val="21"/>
          <w:highlight w:val="none"/>
          <w:lang w:val="en-US" w:eastAsia="zh-CN"/>
        </w:rPr>
        <w:t>(a)叠铁心干变</w:t>
      </w:r>
    </w:p>
    <w:p>
      <w:pPr>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drawing>
          <wp:inline distT="0" distB="0" distL="114300" distR="114300">
            <wp:extent cx="3227070" cy="2599055"/>
            <wp:effectExtent l="0" t="0" r="11430" b="10795"/>
            <wp:docPr id="1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6"/>
                    <pic:cNvPicPr>
                      <a:picLocks noChangeAspect="1"/>
                    </pic:cNvPicPr>
                  </pic:nvPicPr>
                  <pic:blipFill>
                    <a:blip r:embed="rId28"/>
                    <a:stretch>
                      <a:fillRect/>
                    </a:stretch>
                  </pic:blipFill>
                  <pic:spPr>
                    <a:xfrm>
                      <a:off x="0" y="0"/>
                      <a:ext cx="3227070" cy="2599055"/>
                    </a:xfrm>
                    <a:prstGeom prst="rect">
                      <a:avLst/>
                    </a:prstGeom>
                    <a:noFill/>
                    <a:ln w="9525">
                      <a:noFill/>
                    </a:ln>
                  </pic:spPr>
                </pic:pic>
              </a:graphicData>
            </a:graphic>
          </wp:inline>
        </w:drawing>
      </w:r>
    </w:p>
    <w:p>
      <w:pPr>
        <w:jc w:val="center"/>
        <w:outlineLvl w:val="9"/>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lang w:val="en-US" w:eastAsia="zh-CN"/>
        </w:rPr>
        <w:t>(b)闭口立体卷铁心干变</w:t>
      </w:r>
    </w:p>
    <w:p>
      <w:pPr>
        <w:jc w:val="center"/>
        <w:outlineLvl w:val="9"/>
        <w:rPr>
          <w:rFonts w:hint="default" w:ascii="Times New Roman" w:hAnsi="Times New Roman" w:cs="Times New Roman"/>
          <w:color w:val="auto"/>
          <w:highlight w:val="none"/>
        </w:rPr>
      </w:pPr>
      <w:bookmarkStart w:id="376" w:name="_Toc17610_WPSOffice_Level1"/>
      <w:r>
        <w:rPr>
          <w:rFonts w:hint="default" w:ascii="Times New Roman" w:hAnsi="Times New Roman" w:cs="Times New Roman"/>
          <w:color w:val="auto"/>
          <w:highlight w:val="none"/>
        </w:rPr>
        <w:t>图</w:t>
      </w:r>
      <w:r>
        <w:rPr>
          <w:rFonts w:hint="default" w:ascii="Times New Roman" w:hAnsi="Times New Roman" w:cs="Times New Roman"/>
          <w:color w:val="auto"/>
          <w:highlight w:val="none"/>
          <w:lang w:val="en-US" w:eastAsia="zh-CN"/>
        </w:rPr>
        <w:t>8.3</w:t>
      </w:r>
      <w:r>
        <w:rPr>
          <w:rFonts w:hint="default" w:ascii="Times New Roman" w:hAnsi="Times New Roman" w:cs="Times New Roman"/>
          <w:color w:val="auto"/>
          <w:highlight w:val="none"/>
        </w:rPr>
        <w:t xml:space="preserve"> 底支架焊接位置（长轴方向）</w:t>
      </w:r>
      <w:bookmarkEnd w:id="376"/>
    </w:p>
    <w:p>
      <w:pPr>
        <w:jc w:val="center"/>
        <w:outlineLvl w:val="9"/>
        <w:rPr>
          <w:rFonts w:hint="default" w:ascii="Times New Roman" w:hAnsi="Times New Roman" w:cs="Times New Roman"/>
          <w:color w:val="auto"/>
          <w:highlight w:val="none"/>
        </w:rPr>
      </w:pPr>
      <w:bookmarkStart w:id="377" w:name="_Toc22834_WPSOffice_Level1"/>
      <w:bookmarkStart w:id="378" w:name="_Toc3587"/>
      <w:r>
        <w:rPr>
          <w:rFonts w:hint="default" w:ascii="Times New Roman" w:hAnsi="Times New Roman" w:cs="Times New Roman"/>
          <w:color w:val="auto"/>
          <w:highlight w:val="none"/>
        </w:rPr>
        <w:t>注：</w:t>
      </w:r>
      <w:r>
        <w:rPr>
          <w:rFonts w:hint="default" w:ascii="Times New Roman" w:hAnsi="Times New Roman" w:cs="Times New Roman"/>
          <w:color w:val="auto"/>
          <w:highlight w:val="none"/>
          <w:lang w:val="en-US" w:eastAsia="zh-CN"/>
        </w:rPr>
        <w:t>A</w:t>
      </w:r>
      <w:r>
        <w:rPr>
          <w:rFonts w:hint="default" w:ascii="Times New Roman" w:hAnsi="Times New Roman" w:cs="Times New Roman"/>
          <w:color w:val="auto"/>
          <w:highlight w:val="none"/>
        </w:rPr>
        <w:t>尺寸可按变压器大小选择为400、550、660、820、1070mm</w:t>
      </w:r>
      <w:bookmarkEnd w:id="377"/>
      <w:bookmarkEnd w:id="378"/>
    </w:p>
    <w:p>
      <w:pPr>
        <w:pStyle w:val="27"/>
        <w:spacing w:before="317" w:after="317" w:line="400" w:lineRule="atLeast"/>
        <w:rPr>
          <w:rFonts w:hint="default" w:ascii="Times New Roman" w:hAnsi="Times New Roman" w:eastAsia="黑体" w:cs="Times New Roman"/>
          <w:b/>
          <w:bCs/>
          <w:color w:val="auto"/>
          <w:sz w:val="21"/>
          <w:szCs w:val="20"/>
          <w:highlight w:val="none"/>
          <w:lang w:val="en-US" w:eastAsia="zh-CN"/>
        </w:rPr>
      </w:pPr>
      <w:bookmarkStart w:id="379" w:name="_Toc16565"/>
      <w:bookmarkStart w:id="380" w:name="_Toc26173"/>
      <w:bookmarkStart w:id="381" w:name="_Toc349226964"/>
      <w:bookmarkStart w:id="382" w:name="_Toc18211"/>
      <w:bookmarkStart w:id="383" w:name="_Toc30087"/>
      <w:bookmarkStart w:id="384" w:name="_Toc9618"/>
      <w:bookmarkStart w:id="385" w:name="_Toc13793"/>
      <w:bookmarkStart w:id="386" w:name="_Toc419472618"/>
      <w:bookmarkStart w:id="387" w:name="_Toc21854"/>
      <w:bookmarkStart w:id="388" w:name="_Toc38157379"/>
      <w:bookmarkStart w:id="389" w:name="_Toc419906069"/>
      <w:r>
        <w:rPr>
          <w:rFonts w:hint="default" w:ascii="Times New Roman" w:hAnsi="Times New Roman" w:eastAsia="黑体" w:cs="Times New Roman"/>
          <w:b/>
          <w:bCs/>
          <w:color w:val="auto"/>
          <w:sz w:val="21"/>
          <w:szCs w:val="20"/>
          <w:highlight w:val="none"/>
        </w:rPr>
        <w:t>9</w:t>
      </w:r>
      <w:r>
        <w:rPr>
          <w:rFonts w:hint="default" w:ascii="Times New Roman" w:hAnsi="Times New Roman" w:eastAsia="黑体" w:cs="Times New Roman"/>
          <w:b/>
          <w:bCs/>
          <w:color w:val="auto"/>
          <w:sz w:val="21"/>
          <w:szCs w:val="20"/>
          <w:highlight w:val="none"/>
          <w:lang w:val="en-US" w:eastAsia="zh-CN"/>
        </w:rPr>
        <w:t xml:space="preserve"> </w:t>
      </w:r>
      <w:r>
        <w:rPr>
          <w:rFonts w:hint="default" w:ascii="Times New Roman" w:hAnsi="Times New Roman" w:eastAsia="黑体" w:cs="Times New Roman"/>
          <w:b/>
          <w:bCs/>
          <w:color w:val="auto"/>
          <w:sz w:val="21"/>
          <w:szCs w:val="20"/>
          <w:highlight w:val="none"/>
        </w:rPr>
        <w:t>监造、运输、质量保证及其他要求</w:t>
      </w:r>
      <w:bookmarkEnd w:id="379"/>
      <w:bookmarkEnd w:id="380"/>
      <w:bookmarkEnd w:id="381"/>
      <w:bookmarkEnd w:id="382"/>
      <w:bookmarkEnd w:id="383"/>
      <w:bookmarkEnd w:id="384"/>
      <w:bookmarkEnd w:id="385"/>
      <w:bookmarkEnd w:id="386"/>
      <w:bookmarkEnd w:id="387"/>
      <w:bookmarkEnd w:id="388"/>
      <w:bookmarkEnd w:id="389"/>
      <w:bookmarkStart w:id="390" w:name="_Toc6184"/>
      <w:bookmarkStart w:id="391" w:name="_Toc38157380"/>
      <w:bookmarkStart w:id="392" w:name="_Toc4874"/>
      <w:bookmarkStart w:id="393" w:name="_Toc12341"/>
      <w:bookmarkStart w:id="394" w:name="_Toc419906070"/>
      <w:bookmarkStart w:id="395" w:name="_Toc29919"/>
    </w:p>
    <w:p>
      <w:pPr>
        <w:pStyle w:val="25"/>
        <w:rPr>
          <w:rFonts w:hint="default" w:ascii="Times New Roman" w:hAnsi="Times New Roman" w:cs="Times New Roman"/>
          <w:color w:val="auto"/>
          <w:highlight w:val="none"/>
        </w:rPr>
      </w:pPr>
      <w:bookmarkStart w:id="396" w:name="_Toc24109"/>
      <w:bookmarkStart w:id="397" w:name="_Toc18904"/>
      <w:bookmarkStart w:id="398" w:name="_Toc12623"/>
      <w:r>
        <w:rPr>
          <w:rFonts w:hint="default" w:ascii="Times New Roman" w:hAnsi="Times New Roman" w:cs="Times New Roman"/>
          <w:b/>
          <w:bCs/>
          <w:color w:val="auto"/>
          <w:highlight w:val="none"/>
          <w:lang w:val="en-US" w:eastAsia="zh-CN"/>
        </w:rPr>
        <w:t>9</w:t>
      </w:r>
      <w:r>
        <w:rPr>
          <w:rFonts w:hint="default" w:ascii="Times New Roman" w:hAnsi="Times New Roman" w:cs="Times New Roman"/>
          <w:b/>
          <w:bCs/>
          <w:color w:val="auto"/>
          <w:highlight w:val="none"/>
        </w:rPr>
        <w:t>.1</w:t>
      </w:r>
      <w:r>
        <w:rPr>
          <w:rFonts w:hint="default" w:ascii="Times New Roman" w:hAnsi="Times New Roman" w:cs="Times New Roman"/>
          <w:color w:val="auto"/>
          <w:highlight w:val="none"/>
        </w:rPr>
        <w:t xml:space="preserve"> 起吊</w:t>
      </w:r>
      <w:bookmarkEnd w:id="390"/>
      <w:bookmarkEnd w:id="391"/>
      <w:bookmarkEnd w:id="392"/>
      <w:bookmarkEnd w:id="393"/>
      <w:bookmarkEnd w:id="394"/>
      <w:bookmarkEnd w:id="395"/>
      <w:bookmarkEnd w:id="396"/>
      <w:bookmarkEnd w:id="397"/>
      <w:bookmarkEnd w:id="398"/>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color w:val="auto"/>
          <w:highlight w:val="none"/>
        </w:rPr>
        <w:t>变压器须具有承受变压器总重的起吊装置。</w:t>
      </w:r>
    </w:p>
    <w:p>
      <w:pPr>
        <w:pStyle w:val="25"/>
        <w:rPr>
          <w:rFonts w:hint="default" w:ascii="Times New Roman" w:hAnsi="Times New Roman" w:cs="Times New Roman"/>
          <w:color w:val="auto"/>
          <w:highlight w:val="none"/>
        </w:rPr>
      </w:pPr>
      <w:bookmarkStart w:id="399" w:name="_Toc419906071"/>
      <w:bookmarkStart w:id="400" w:name="_Toc17597"/>
      <w:bookmarkStart w:id="401" w:name="_Toc12133"/>
      <w:bookmarkStart w:id="402" w:name="_Toc14014"/>
      <w:bookmarkStart w:id="403" w:name="_Toc6044"/>
      <w:bookmarkStart w:id="404" w:name="_Toc38157381"/>
      <w:bookmarkStart w:id="405" w:name="_Toc30489"/>
      <w:bookmarkStart w:id="406" w:name="_Toc15487"/>
      <w:bookmarkStart w:id="407" w:name="_Toc757"/>
      <w:r>
        <w:rPr>
          <w:rFonts w:hint="default" w:ascii="Times New Roman" w:hAnsi="Times New Roman" w:cs="Times New Roman"/>
          <w:b/>
          <w:bCs/>
          <w:color w:val="auto"/>
          <w:highlight w:val="none"/>
          <w:lang w:val="en-US" w:eastAsia="zh-CN"/>
        </w:rPr>
        <w:t>9</w:t>
      </w:r>
      <w:r>
        <w:rPr>
          <w:rFonts w:hint="default" w:ascii="Times New Roman" w:hAnsi="Times New Roman" w:cs="Times New Roman"/>
          <w:b/>
          <w:bCs/>
          <w:color w:val="auto"/>
          <w:highlight w:val="none"/>
        </w:rPr>
        <w:t>.2</w:t>
      </w:r>
      <w:r>
        <w:rPr>
          <w:rFonts w:hint="default" w:ascii="Times New Roman" w:hAnsi="Times New Roman" w:cs="Times New Roman"/>
          <w:color w:val="auto"/>
          <w:highlight w:val="none"/>
        </w:rPr>
        <w:t xml:space="preserve"> 包装</w:t>
      </w:r>
      <w:bookmarkEnd w:id="399"/>
      <w:bookmarkEnd w:id="400"/>
      <w:bookmarkEnd w:id="401"/>
      <w:bookmarkEnd w:id="402"/>
      <w:bookmarkEnd w:id="403"/>
      <w:bookmarkEnd w:id="404"/>
      <w:bookmarkEnd w:id="405"/>
      <w:bookmarkEnd w:id="406"/>
      <w:bookmarkEnd w:id="407"/>
    </w:p>
    <w:p>
      <w:pPr>
        <w:pStyle w:val="29"/>
        <w:spacing w:line="360" w:lineRule="auto"/>
        <w:ind w:firstLine="420"/>
        <w:outlineLvl w:val="9"/>
        <w:rPr>
          <w:rFonts w:hint="default" w:ascii="Times New Roman" w:hAnsi="Times New Roman" w:cs="Times New Roman"/>
          <w:color w:val="auto"/>
          <w:highlight w:val="none"/>
        </w:rPr>
      </w:pPr>
      <w:r>
        <w:rPr>
          <w:rFonts w:hint="default" w:ascii="Times New Roman" w:hAnsi="Times New Roman" w:cs="Times New Roman"/>
          <w:b w:val="0"/>
          <w:bCs w:val="0"/>
          <w:color w:val="auto"/>
          <w:highlight w:val="none"/>
          <w:lang w:val="en-US" w:eastAsia="zh-CN"/>
        </w:rPr>
        <w:t>（1）</w:t>
      </w:r>
      <w:r>
        <w:rPr>
          <w:rFonts w:hint="default" w:ascii="Times New Roman" w:hAnsi="Times New Roman" w:eastAsia="宋体" w:cs="Times New Roman"/>
          <w:b w:val="0"/>
          <w:color w:val="auto"/>
          <w:highlight w:val="none"/>
        </w:rPr>
        <w:t>变压器应有接线端子、运输及起吊标志，标志内容应符合相关标准规定。</w:t>
      </w:r>
    </w:p>
    <w:p>
      <w:pPr>
        <w:pStyle w:val="29"/>
        <w:spacing w:line="360" w:lineRule="auto"/>
        <w:ind w:firstLine="420"/>
        <w:outlineLvl w:val="9"/>
        <w:rPr>
          <w:rFonts w:hint="default" w:ascii="Times New Roman" w:hAnsi="Times New Roman" w:cs="Times New Roman"/>
          <w:color w:val="auto"/>
          <w:highlight w:val="none"/>
        </w:rPr>
      </w:pPr>
      <w:r>
        <w:rPr>
          <w:rFonts w:hint="default" w:ascii="Times New Roman" w:hAnsi="Times New Roman" w:cs="Times New Roman"/>
          <w:b w:val="0"/>
          <w:bCs w:val="0"/>
          <w:color w:val="auto"/>
          <w:highlight w:val="none"/>
          <w:lang w:val="en-US" w:eastAsia="zh-CN"/>
        </w:rPr>
        <w:t>（2）</w:t>
      </w:r>
      <w:r>
        <w:rPr>
          <w:rFonts w:hint="default" w:ascii="Times New Roman" w:hAnsi="Times New Roman" w:eastAsia="宋体" w:cs="Times New Roman"/>
          <w:b w:val="0"/>
          <w:color w:val="auto"/>
          <w:highlight w:val="none"/>
        </w:rPr>
        <w:t xml:space="preserve"> </w:t>
      </w:r>
      <w:r>
        <w:rPr>
          <w:rFonts w:hint="default" w:ascii="Times New Roman" w:hAnsi="Times New Roman" w:eastAsia="宋体" w:cs="Times New Roman"/>
          <w:b w:val="0"/>
          <w:color w:val="auto"/>
          <w:highlight w:val="none"/>
          <w:lang w:eastAsia="zh-CN"/>
        </w:rPr>
        <w:t>投标方</w:t>
      </w:r>
      <w:r>
        <w:rPr>
          <w:rFonts w:hint="default" w:ascii="Times New Roman" w:hAnsi="Times New Roman" w:eastAsia="宋体" w:cs="Times New Roman"/>
          <w:b w:val="0"/>
          <w:color w:val="auto"/>
          <w:highlight w:val="none"/>
        </w:rPr>
        <w:t>须根据国家标准和</w:t>
      </w:r>
      <w:r>
        <w:rPr>
          <w:rFonts w:hint="default" w:ascii="Times New Roman" w:hAnsi="Times New Roman" w:eastAsia="宋体" w:cs="Times New Roman"/>
          <w:b w:val="0"/>
          <w:color w:val="auto"/>
          <w:highlight w:val="none"/>
          <w:lang w:eastAsia="zh-CN"/>
        </w:rPr>
        <w:t>招标方</w:t>
      </w:r>
      <w:r>
        <w:rPr>
          <w:rFonts w:hint="default" w:ascii="Times New Roman" w:hAnsi="Times New Roman" w:eastAsia="宋体" w:cs="Times New Roman"/>
          <w:b w:val="0"/>
          <w:color w:val="auto"/>
          <w:highlight w:val="none"/>
        </w:rPr>
        <w:t>的实际运输条件，将全套安装使用说明书、产品合格证明书、产品外形尺寸图、运输尺寸图、产品拆卸件一览表、装箱单、铭牌图或铭牌标志图以及备品备件一览表等应包装好，防止受潮。</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b w:val="0"/>
          <w:bCs w:val="0"/>
          <w:color w:val="auto"/>
          <w:kern w:val="0"/>
          <w:sz w:val="21"/>
          <w:szCs w:val="20"/>
          <w:highlight w:val="none"/>
          <w:lang w:val="en-US" w:eastAsia="zh-CN" w:bidi="ar-SA"/>
        </w:rPr>
        <w:t>（3）</w:t>
      </w:r>
      <w:r>
        <w:rPr>
          <w:rFonts w:hint="default" w:ascii="Times New Roman" w:hAnsi="Times New Roman" w:eastAsia="宋体" w:cs="Times New Roman"/>
          <w:b w:val="0"/>
          <w:bCs w:val="0"/>
          <w:color w:val="auto"/>
          <w:kern w:val="0"/>
          <w:sz w:val="21"/>
          <w:szCs w:val="20"/>
          <w:highlight w:val="none"/>
          <w:lang w:val="en-US" w:eastAsia="zh-CN" w:bidi="ar-SA"/>
        </w:rPr>
        <w:t xml:space="preserve"> </w:t>
      </w:r>
      <w:r>
        <w:rPr>
          <w:rFonts w:hint="default" w:ascii="Times New Roman" w:hAnsi="Times New Roman" w:cs="Times New Roman"/>
          <w:color w:val="auto"/>
          <w:highlight w:val="none"/>
        </w:rPr>
        <w:t>所需的备品备件及专用工具与仪器仪表应装在箱内，在箱上注明“专用工具”、“仪器仪表”，以与本体相区别；并标明“防潮”、“防尘”、“防止损坏”、“易碎”、“向上”、“勿倒”等字样，并同主设备一齐发运。</w:t>
      </w:r>
    </w:p>
    <w:p>
      <w:pPr>
        <w:pStyle w:val="29"/>
        <w:spacing w:line="360" w:lineRule="auto"/>
        <w:ind w:firstLine="420"/>
        <w:rPr>
          <w:rFonts w:hint="default" w:ascii="Times New Roman" w:hAnsi="Times New Roman" w:cs="Times New Roman"/>
          <w:color w:val="auto"/>
          <w:highlight w:val="none"/>
        </w:rPr>
      </w:pPr>
      <w:r>
        <w:rPr>
          <w:rFonts w:hint="default" w:ascii="Times New Roman" w:hAnsi="Times New Roman" w:cs="Times New Roman"/>
          <w:b w:val="0"/>
          <w:bCs w:val="0"/>
          <w:color w:val="auto"/>
          <w:highlight w:val="none"/>
          <w:lang w:val="en-US" w:eastAsia="zh-CN"/>
        </w:rPr>
        <w:t>（4）</w:t>
      </w:r>
      <w:r>
        <w:rPr>
          <w:rFonts w:hint="default" w:ascii="Times New Roman" w:hAnsi="Times New Roman" w:cs="Times New Roman"/>
          <w:color w:val="auto"/>
          <w:highlight w:val="none"/>
        </w:rPr>
        <w:t>从</w:t>
      </w:r>
      <w:r>
        <w:rPr>
          <w:rFonts w:hint="default" w:ascii="Times New Roman" w:hAnsi="Times New Roman" w:cs="Times New Roman"/>
          <w:color w:val="auto"/>
          <w:highlight w:val="none"/>
          <w:lang w:eastAsia="zh-CN"/>
        </w:rPr>
        <w:t>投标方</w:t>
      </w:r>
      <w:r>
        <w:rPr>
          <w:rFonts w:hint="default" w:ascii="Times New Roman" w:hAnsi="Times New Roman" w:cs="Times New Roman"/>
          <w:color w:val="auto"/>
          <w:highlight w:val="none"/>
        </w:rPr>
        <w:t>发货至</w:t>
      </w:r>
      <w:r>
        <w:rPr>
          <w:rFonts w:hint="default" w:ascii="Times New Roman" w:hAnsi="Times New Roman" w:cs="Times New Roman"/>
          <w:color w:val="auto"/>
          <w:highlight w:val="none"/>
          <w:lang w:eastAsia="zh-CN"/>
        </w:rPr>
        <w:t>招标方</w:t>
      </w:r>
      <w:r>
        <w:rPr>
          <w:rFonts w:hint="default" w:ascii="Times New Roman" w:hAnsi="Times New Roman" w:cs="Times New Roman"/>
          <w:color w:val="auto"/>
          <w:highlight w:val="none"/>
        </w:rPr>
        <w:t>收到期间，设备应完好无损。凡因包装不良所造成一切损失应由</w:t>
      </w:r>
      <w:r>
        <w:rPr>
          <w:rFonts w:hint="default" w:ascii="Times New Roman" w:hAnsi="Times New Roman" w:cs="Times New Roman"/>
          <w:color w:val="auto"/>
          <w:highlight w:val="none"/>
          <w:lang w:eastAsia="zh-CN"/>
        </w:rPr>
        <w:t>投标方</w:t>
      </w:r>
      <w:r>
        <w:rPr>
          <w:rFonts w:hint="default" w:ascii="Times New Roman" w:hAnsi="Times New Roman" w:cs="Times New Roman"/>
          <w:color w:val="auto"/>
          <w:highlight w:val="none"/>
        </w:rPr>
        <w:t>自负。</w:t>
      </w:r>
    </w:p>
    <w:p>
      <w:pPr>
        <w:pStyle w:val="25"/>
        <w:rPr>
          <w:rFonts w:hint="default" w:ascii="Times New Roman" w:hAnsi="Times New Roman" w:cs="Times New Roman"/>
          <w:color w:val="auto"/>
          <w:highlight w:val="none"/>
        </w:rPr>
      </w:pPr>
      <w:bookmarkStart w:id="408" w:name="_Toc3802"/>
      <w:bookmarkStart w:id="409" w:name="_Toc38157382"/>
      <w:bookmarkStart w:id="410" w:name="_Toc419906072"/>
      <w:bookmarkStart w:id="411" w:name="_Toc23998"/>
      <w:bookmarkStart w:id="412" w:name="_Toc2948"/>
      <w:bookmarkStart w:id="413" w:name="_Toc25201"/>
      <w:bookmarkStart w:id="414" w:name="_Toc5373"/>
      <w:bookmarkStart w:id="415" w:name="_Toc20930"/>
      <w:bookmarkStart w:id="416" w:name="_Toc32425"/>
      <w:r>
        <w:rPr>
          <w:rFonts w:hint="default" w:ascii="Times New Roman" w:hAnsi="Times New Roman" w:cs="Times New Roman"/>
          <w:b/>
          <w:bCs/>
          <w:color w:val="auto"/>
          <w:highlight w:val="none"/>
          <w:lang w:val="en-US" w:eastAsia="zh-CN"/>
        </w:rPr>
        <w:t>9</w:t>
      </w:r>
      <w:r>
        <w:rPr>
          <w:rFonts w:hint="default" w:ascii="Times New Roman" w:hAnsi="Times New Roman" w:cs="Times New Roman"/>
          <w:b/>
          <w:bCs/>
          <w:color w:val="auto"/>
          <w:highlight w:val="none"/>
        </w:rPr>
        <w:t>.3</w:t>
      </w:r>
      <w:r>
        <w:rPr>
          <w:rFonts w:hint="default" w:ascii="Times New Roman" w:hAnsi="Times New Roman" w:cs="Times New Roman"/>
          <w:color w:val="auto"/>
          <w:highlight w:val="none"/>
        </w:rPr>
        <w:t xml:space="preserve"> 运输</w:t>
      </w:r>
      <w:bookmarkEnd w:id="408"/>
      <w:bookmarkEnd w:id="409"/>
      <w:bookmarkEnd w:id="410"/>
      <w:bookmarkEnd w:id="411"/>
      <w:bookmarkEnd w:id="412"/>
      <w:bookmarkEnd w:id="413"/>
      <w:bookmarkEnd w:id="414"/>
      <w:bookmarkEnd w:id="415"/>
      <w:bookmarkEnd w:id="416"/>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.3.1</w:t>
      </w:r>
      <w:r>
        <w:rPr>
          <w:rFonts w:hint="default" w:ascii="Times New Roman" w:hAnsi="Times New Roman" w:cs="Times New Roman"/>
          <w:b w:val="0"/>
          <w:color w:val="auto"/>
          <w:highlight w:val="none"/>
        </w:rPr>
        <w:t xml:space="preserve"> </w:t>
      </w:r>
      <w:r>
        <w:rPr>
          <w:rFonts w:hint="default" w:ascii="Times New Roman" w:hAnsi="Times New Roman" w:eastAsia="宋体" w:cs="Times New Roman"/>
          <w:b w:val="0"/>
          <w:color w:val="auto"/>
          <w:highlight w:val="none"/>
        </w:rPr>
        <w:t>变压器的结构应在经过正常的运输后内部结构相互位置不变，紧固件不松动。</w:t>
      </w:r>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.3.2</w:t>
      </w:r>
      <w:r>
        <w:rPr>
          <w:rFonts w:hint="default" w:ascii="Times New Roman" w:hAnsi="Times New Roman" w:cs="Times New Roman"/>
          <w:b w:val="0"/>
          <w:color w:val="auto"/>
          <w:highlight w:val="none"/>
        </w:rPr>
        <w:t xml:space="preserve"> </w:t>
      </w:r>
      <w:r>
        <w:rPr>
          <w:rFonts w:hint="default" w:ascii="Times New Roman" w:hAnsi="Times New Roman" w:eastAsia="宋体" w:cs="Times New Roman"/>
          <w:b w:val="0"/>
          <w:color w:val="auto"/>
          <w:highlight w:val="none"/>
        </w:rPr>
        <w:t>变压器的组件、附件的结构及布置位置应不妨碍吊装、运输及运输中的紧固定位。</w:t>
      </w:r>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 xml:space="preserve">.3.3 </w:t>
      </w:r>
      <w:r>
        <w:rPr>
          <w:rFonts w:hint="default" w:ascii="Times New Roman" w:hAnsi="Times New Roman" w:eastAsia="宋体" w:cs="Times New Roman"/>
          <w:b w:val="0"/>
          <w:color w:val="auto"/>
          <w:highlight w:val="none"/>
        </w:rPr>
        <w:t>整体运输时，应保护变压器所有组、部件不得损坏和受潮。</w:t>
      </w:r>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.3.4</w:t>
      </w:r>
      <w:r>
        <w:rPr>
          <w:rFonts w:hint="default" w:ascii="Times New Roman" w:hAnsi="Times New Roman" w:cs="Times New Roman"/>
          <w:b w:val="0"/>
          <w:color w:val="auto"/>
          <w:highlight w:val="none"/>
        </w:rPr>
        <w:t xml:space="preserve"> </w:t>
      </w:r>
      <w:r>
        <w:rPr>
          <w:rFonts w:hint="default" w:ascii="Times New Roman" w:hAnsi="Times New Roman" w:eastAsia="宋体" w:cs="Times New Roman"/>
          <w:b w:val="0"/>
          <w:color w:val="auto"/>
          <w:highlight w:val="none"/>
        </w:rPr>
        <w:t>成套拆卸的组件和零件运输时应保证经过运输、储存直到安装前不得损伤和受潮。</w:t>
      </w:r>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.3.5</w:t>
      </w:r>
      <w:r>
        <w:rPr>
          <w:rFonts w:hint="default" w:ascii="Times New Roman" w:hAnsi="Times New Roman" w:cs="Times New Roman"/>
          <w:b w:val="0"/>
          <w:color w:val="auto"/>
          <w:highlight w:val="none"/>
        </w:rPr>
        <w:t xml:space="preserve"> </w:t>
      </w:r>
      <w:r>
        <w:rPr>
          <w:rFonts w:hint="default" w:ascii="Times New Roman" w:hAnsi="Times New Roman" w:eastAsia="宋体" w:cs="Times New Roman"/>
          <w:b w:val="0"/>
          <w:color w:val="auto"/>
          <w:highlight w:val="none"/>
        </w:rPr>
        <w:t>装运货物时，需考虑便于现场卸货、搬运和安装。</w:t>
      </w:r>
    </w:p>
    <w:p>
      <w:pPr>
        <w:pStyle w:val="30"/>
        <w:spacing w:line="360" w:lineRule="auto"/>
        <w:outlineLvl w:val="9"/>
        <w:rPr>
          <w:rFonts w:hint="default" w:ascii="Times New Roman" w:hAnsi="Times New Roman" w:cs="Times New Roman"/>
          <w:color w:val="auto"/>
          <w:highlight w:val="none"/>
        </w:rPr>
      </w:pPr>
      <w:r>
        <w:rPr>
          <w:rFonts w:hint="default" w:ascii="Times New Roman" w:hAnsi="Times New Roman" w:cs="Times New Roman"/>
          <w:b/>
          <w:bCs/>
          <w:color w:val="auto"/>
          <w:highlight w:val="none"/>
          <w:lang w:val="en-US" w:eastAsia="zh-CN"/>
        </w:rPr>
        <w:t>9</w:t>
      </w:r>
      <w:r>
        <w:rPr>
          <w:rFonts w:hint="default" w:ascii="Times New Roman" w:hAnsi="Times New Roman" w:cs="Times New Roman"/>
          <w:bCs/>
          <w:color w:val="auto"/>
          <w:highlight w:val="none"/>
        </w:rPr>
        <w:t>.3.6</w:t>
      </w:r>
      <w:r>
        <w:rPr>
          <w:rFonts w:hint="default" w:ascii="Times New Roman" w:hAnsi="Times New Roman" w:cs="Times New Roman"/>
          <w:b w:val="0"/>
          <w:color w:val="auto"/>
          <w:highlight w:val="none"/>
        </w:rPr>
        <w:t xml:space="preserve"> </w:t>
      </w:r>
      <w:r>
        <w:rPr>
          <w:rFonts w:hint="default" w:ascii="Times New Roman" w:hAnsi="Times New Roman" w:eastAsia="宋体" w:cs="Times New Roman"/>
          <w:b w:val="0"/>
          <w:color w:val="auto"/>
          <w:highlight w:val="none"/>
        </w:rPr>
        <w:t>在设备启运时，供方应以最快捷的方式通知</w:t>
      </w:r>
      <w:r>
        <w:rPr>
          <w:rFonts w:hint="default" w:ascii="Times New Roman" w:hAnsi="Times New Roman" w:eastAsia="宋体" w:cs="Times New Roman"/>
          <w:b w:val="0"/>
          <w:color w:val="auto"/>
          <w:highlight w:val="none"/>
          <w:lang w:eastAsia="zh-CN"/>
        </w:rPr>
        <w:t>招标方</w:t>
      </w:r>
      <w:r>
        <w:rPr>
          <w:rFonts w:hint="default" w:ascii="Times New Roman" w:hAnsi="Times New Roman" w:eastAsia="宋体" w:cs="Times New Roman"/>
          <w:b w:val="0"/>
          <w:color w:val="auto"/>
          <w:highlight w:val="none"/>
        </w:rPr>
        <w:t>以下内容：</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1）设备名称；</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2）件数、件号、重量；</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3）合同号；</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4）货运单号；</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5）达到港（站）；</w:t>
      </w:r>
    </w:p>
    <w:p>
      <w:pPr>
        <w:spacing w:line="360" w:lineRule="auto"/>
        <w:ind w:firstLine="420" w:firstLineChars="200"/>
        <w:rPr>
          <w:rFonts w:hint="default" w:ascii="Times New Roman" w:hAnsi="Times New Roman" w:cs="Times New Roman"/>
          <w:color w:val="auto"/>
          <w:highlight w:val="none"/>
        </w:rPr>
      </w:pPr>
      <w:r>
        <w:rPr>
          <w:rFonts w:hint="default" w:ascii="Times New Roman" w:hAnsi="Times New Roman" w:cs="Times New Roman"/>
          <w:color w:val="auto"/>
          <w:highlight w:val="none"/>
        </w:rPr>
        <w:t>6）设备发出日期。</w:t>
      </w:r>
    </w:p>
    <w:p>
      <w:pPr>
        <w:pStyle w:val="25"/>
        <w:rPr>
          <w:rFonts w:hint="default" w:ascii="Times New Roman" w:hAnsi="Times New Roman" w:cs="Times New Roman"/>
          <w:color w:val="auto"/>
          <w:highlight w:val="none"/>
        </w:rPr>
      </w:pPr>
      <w:bookmarkStart w:id="417" w:name="_Toc276301530"/>
      <w:bookmarkStart w:id="418" w:name="_Toc276492438"/>
      <w:bookmarkStart w:id="419" w:name="_Toc276490920"/>
      <w:bookmarkStart w:id="420" w:name="_Toc5598"/>
      <w:bookmarkStart w:id="421" w:name="_Toc419746488"/>
      <w:bookmarkStart w:id="422" w:name="_Toc419906073"/>
      <w:bookmarkStart w:id="423" w:name="_Toc17765"/>
      <w:bookmarkStart w:id="424" w:name="_Toc38157383"/>
      <w:bookmarkStart w:id="425" w:name="_Toc282433762"/>
      <w:bookmarkStart w:id="426" w:name="_Toc12804"/>
      <w:bookmarkStart w:id="427" w:name="_Toc282993366"/>
      <w:bookmarkStart w:id="428" w:name="_Toc279695211"/>
      <w:bookmarkStart w:id="429" w:name="_Toc292025368"/>
      <w:bookmarkStart w:id="430" w:name="_Toc8214"/>
      <w:bookmarkStart w:id="431" w:name="_Toc398755364"/>
      <w:bookmarkStart w:id="432" w:name="_Toc9491"/>
      <w:bookmarkStart w:id="433" w:name="_Toc408406119"/>
      <w:bookmarkStart w:id="434" w:name="_Toc29104"/>
      <w:bookmarkStart w:id="435" w:name="_Toc8497"/>
      <w:bookmarkStart w:id="436" w:name="_Toc419472619"/>
      <w:r>
        <w:rPr>
          <w:rFonts w:hint="default" w:ascii="Times New Roman" w:hAnsi="Times New Roman" w:cs="Times New Roman"/>
          <w:b/>
          <w:bCs/>
          <w:color w:val="auto"/>
          <w:highlight w:val="none"/>
          <w:lang w:val="en-US" w:eastAsia="zh-CN"/>
        </w:rPr>
        <w:t>9</w:t>
      </w:r>
      <w:r>
        <w:rPr>
          <w:rFonts w:hint="default" w:ascii="Times New Roman" w:hAnsi="Times New Roman" w:cs="Times New Roman"/>
          <w:b/>
          <w:bCs/>
          <w:color w:val="auto"/>
          <w:highlight w:val="none"/>
        </w:rPr>
        <w:t xml:space="preserve">.4 </w:t>
      </w:r>
      <w:r>
        <w:rPr>
          <w:rFonts w:hint="default" w:ascii="Times New Roman" w:hAnsi="Times New Roman" w:cs="Times New Roman"/>
          <w:color w:val="auto"/>
          <w:highlight w:val="none"/>
        </w:rPr>
        <w:t>安装</w:t>
      </w:r>
      <w:bookmarkEnd w:id="417"/>
      <w:bookmarkEnd w:id="418"/>
      <w:bookmarkEnd w:id="419"/>
      <w:r>
        <w:rPr>
          <w:rFonts w:hint="default" w:ascii="Times New Roman" w:hAnsi="Times New Roman" w:cs="Times New Roman"/>
          <w:color w:val="auto"/>
          <w:highlight w:val="none"/>
        </w:rPr>
        <w:t>指导</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pPr>
        <w:adjustRightInd w:val="0"/>
        <w:spacing w:line="360" w:lineRule="auto"/>
        <w:ind w:firstLine="420" w:firstLineChars="200"/>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制造厂在安装和启动时应安排技术人员提供现场安装指导服务，提出技术建议，并有对运行人员提供相关培训的义务。</w:t>
      </w:r>
    </w:p>
    <w:p>
      <w:pPr>
        <w:adjustRightInd w:val="0"/>
        <w:spacing w:line="360" w:lineRule="auto"/>
        <w:ind w:firstLine="420" w:firstLineChars="200"/>
        <w:textAlignment w:val="baseline"/>
        <w:rPr>
          <w:rFonts w:hint="default" w:ascii="Times New Roman" w:hAnsi="Times New Roman" w:cs="Times New Roman"/>
          <w:color w:val="auto"/>
          <w:highlight w:val="none"/>
        </w:rPr>
      </w:pPr>
      <w:r>
        <w:rPr>
          <w:rFonts w:hint="default" w:ascii="Times New Roman" w:hAnsi="Times New Roman" w:cs="Times New Roman"/>
          <w:color w:val="auto"/>
          <w:highlight w:val="none"/>
        </w:rPr>
        <w:t>设备在现场搬运、吊装就位和安装时，应按照</w:t>
      </w:r>
      <w:r>
        <w:rPr>
          <w:rFonts w:hint="default" w:ascii="Times New Roman" w:hAnsi="Times New Roman" w:cs="Times New Roman"/>
          <w:color w:val="auto"/>
          <w:highlight w:val="none"/>
        </w:rPr>
        <w:fldChar w:fldCharType="begin"/>
      </w:r>
      <w:r>
        <w:rPr>
          <w:rFonts w:hint="default" w:ascii="Times New Roman" w:hAnsi="Times New Roman" w:cs="Times New Roman"/>
          <w:color w:val="auto"/>
          <w:highlight w:val="none"/>
        </w:rPr>
        <w:instrText xml:space="preserve"> HYPERLINK "http://10.150.161.32/page/tbsbrowser.cbs?urlname=tbss%3A%2F%2F2Ui9i38FjdRwKFnMrSY6UOPYnhWgHbKI2bk%2DPPFtT4HgSjHpDU0E0rQmCkLiPwADu0PodmtMzrADzrgk1GG6%2FfliLQ3tJjiNgd3cgh82qj%2F2AFD6hzWp8NRw5mDD8m2jWAJijq7l86E998VlD3Zn2p%2DIyFdyh%2DA1phBzinkHll7Qcc9tdN0rphjpsRVoXOyF3pikPToCNHSjPhMzFHvRHkOKlcCiw8Tw5S0rddc272DnivfiuIWQyx%2FEAVb9ROPnelaLiDG0uUEWn3UrgboZFbxj85G78Sd%2FjfqgFLNDHNiVTbC%2Db7WBYY442cmxHR7I" \t "_blank"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GB 26164.1</w:t>
      </w:r>
      <w:r>
        <w:rPr>
          <w:rFonts w:hint="default" w:ascii="Times New Roman" w:hAnsi="Times New Roman" w:cs="Times New Roman"/>
          <w:color w:val="auto"/>
          <w:highlight w:val="none"/>
        </w:rPr>
        <w:fldChar w:fldCharType="end"/>
      </w:r>
      <w:r>
        <w:rPr>
          <w:rFonts w:hint="default" w:ascii="Times New Roman" w:hAnsi="Times New Roman" w:cs="Times New Roman"/>
          <w:color w:val="auto"/>
          <w:highlight w:val="none"/>
        </w:rPr>
        <w:t>《电业安全工作规程 第1部分：热力和机械》的要求进行。</w:t>
      </w:r>
    </w:p>
    <w:p>
      <w:pPr>
        <w:pStyle w:val="25"/>
        <w:rPr>
          <w:rFonts w:hint="default" w:ascii="Times New Roman" w:hAnsi="Times New Roman" w:cs="Times New Roman"/>
          <w:color w:val="auto"/>
          <w:highlight w:val="none"/>
        </w:rPr>
      </w:pPr>
      <w:bookmarkStart w:id="437" w:name="_Toc292025369"/>
      <w:bookmarkStart w:id="438" w:name="_Toc408406120"/>
      <w:bookmarkStart w:id="439" w:name="_Toc9781"/>
      <w:bookmarkStart w:id="440" w:name="_Toc282993367"/>
      <w:bookmarkStart w:id="441" w:name="_Toc282433763"/>
      <w:bookmarkStart w:id="442" w:name="_Toc4882"/>
      <w:bookmarkStart w:id="443" w:name="_Toc398755365"/>
      <w:bookmarkStart w:id="444" w:name="_Toc12970"/>
      <w:bookmarkStart w:id="445" w:name="_Toc38157384"/>
      <w:bookmarkStart w:id="446" w:name="_Toc4580"/>
      <w:bookmarkStart w:id="447" w:name="_Toc419906074"/>
      <w:bookmarkStart w:id="448" w:name="_Toc419746489"/>
      <w:bookmarkStart w:id="449" w:name="_Toc27338"/>
      <w:bookmarkStart w:id="450" w:name="_Toc25523"/>
      <w:bookmarkStart w:id="451" w:name="_Toc11560"/>
      <w:r>
        <w:rPr>
          <w:rFonts w:hint="default" w:ascii="Times New Roman" w:hAnsi="Times New Roman" w:cs="Times New Roman"/>
          <w:b/>
          <w:bCs/>
          <w:color w:val="auto"/>
          <w:highlight w:val="none"/>
          <w:lang w:val="en-US" w:eastAsia="zh-CN"/>
        </w:rPr>
        <w:t>9</w:t>
      </w:r>
      <w:r>
        <w:rPr>
          <w:rFonts w:hint="default" w:ascii="Times New Roman" w:hAnsi="Times New Roman" w:cs="Times New Roman"/>
          <w:b/>
          <w:bCs/>
          <w:color w:val="auto"/>
          <w:highlight w:val="none"/>
        </w:rPr>
        <w:t>.5</w:t>
      </w:r>
      <w:r>
        <w:rPr>
          <w:rFonts w:hint="default" w:ascii="Times New Roman" w:hAnsi="Times New Roman" w:cs="Times New Roman"/>
          <w:color w:val="auto"/>
          <w:highlight w:val="none"/>
        </w:rPr>
        <w:t xml:space="preserve"> 质量保证</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pStyle w:val="29"/>
        <w:spacing w:line="360" w:lineRule="auto"/>
        <w:ind w:firstLine="420"/>
        <w:outlineLvl w:val="9"/>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（1）</w:t>
      </w:r>
      <w:r>
        <w:rPr>
          <w:rFonts w:hint="default" w:ascii="Times New Roman" w:hAnsi="Times New Roman" w:cs="Times New Roman"/>
          <w:b w:val="0"/>
          <w:color w:val="auto"/>
          <w:spacing w:val="0"/>
          <w:highlight w:val="none"/>
        </w:rPr>
        <w:t xml:space="preserve"> </w:t>
      </w:r>
      <w:r>
        <w:rPr>
          <w:rFonts w:hint="default" w:ascii="Times New Roman" w:hAnsi="Times New Roman" w:eastAsia="宋体" w:cs="Times New Roman"/>
          <w:b w:val="0"/>
          <w:color w:val="auto"/>
          <w:spacing w:val="0"/>
          <w:highlight w:val="none"/>
        </w:rPr>
        <w:t>投标方应按使用</w:t>
      </w:r>
      <w:r>
        <w:rPr>
          <w:rFonts w:hint="default" w:ascii="Times New Roman" w:hAnsi="Times New Roman" w:eastAsia="宋体" w:cs="Times New Roman"/>
          <w:b w:val="0"/>
          <w:color w:val="auto"/>
          <w:highlight w:val="none"/>
        </w:rPr>
        <w:t>说明书</w:t>
      </w:r>
      <w:r>
        <w:rPr>
          <w:rFonts w:hint="default" w:ascii="Times New Roman" w:hAnsi="Times New Roman" w:eastAsia="宋体" w:cs="Times New Roman"/>
          <w:b w:val="0"/>
          <w:color w:val="auto"/>
          <w:spacing w:val="0"/>
          <w:highlight w:val="none"/>
        </w:rPr>
        <w:t>进行安装和维护，确保设备在规定的使用条件下安全运行，保证设备使用寿命应不少于</w:t>
      </w:r>
      <w:r>
        <w:rPr>
          <w:rFonts w:hint="eastAsia" w:ascii="Times New Roman" w:cs="Times New Roman"/>
          <w:b w:val="0"/>
          <w:color w:val="auto"/>
          <w:spacing w:val="0"/>
          <w:highlight w:val="none"/>
          <w:lang w:val="en-US" w:eastAsia="zh-CN"/>
        </w:rPr>
        <w:t>40</w:t>
      </w:r>
      <w:r>
        <w:rPr>
          <w:rFonts w:hint="default" w:ascii="Times New Roman" w:hAnsi="Times New Roman" w:eastAsia="宋体" w:cs="Times New Roman"/>
          <w:b w:val="0"/>
          <w:color w:val="auto"/>
          <w:spacing w:val="0"/>
          <w:highlight w:val="none"/>
        </w:rPr>
        <w:t>年；</w:t>
      </w:r>
      <w:bookmarkStart w:id="466" w:name="_GoBack"/>
      <w:bookmarkEnd w:id="466"/>
    </w:p>
    <w:p>
      <w:pPr>
        <w:pStyle w:val="29"/>
        <w:spacing w:line="360" w:lineRule="auto"/>
        <w:ind w:firstLine="420"/>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（2）</w:t>
      </w:r>
      <w:r>
        <w:rPr>
          <w:rFonts w:hint="default" w:ascii="Times New Roman" w:hAnsi="Times New Roman" w:eastAsia="宋体" w:cs="Times New Roman"/>
          <w:color w:val="auto"/>
          <w:spacing w:val="0"/>
          <w:highlight w:val="none"/>
        </w:rPr>
        <w:t xml:space="preserve"> </w:t>
      </w:r>
      <w:r>
        <w:rPr>
          <w:rFonts w:hint="default" w:ascii="Times New Roman" w:hAnsi="Times New Roman" w:cs="Times New Roman"/>
          <w:color w:val="auto"/>
          <w:spacing w:val="0"/>
          <w:highlight w:val="none"/>
        </w:rPr>
        <w:t>投标方</w:t>
      </w:r>
      <w:r>
        <w:rPr>
          <w:rFonts w:hint="default" w:ascii="Times New Roman" w:hAnsi="Times New Roman" w:cs="Times New Roman"/>
          <w:color w:val="auto"/>
          <w:highlight w:val="none"/>
        </w:rPr>
        <w:t>应对</w:t>
      </w:r>
      <w:r>
        <w:rPr>
          <w:rFonts w:hint="default" w:ascii="Times New Roman" w:hAnsi="Times New Roman" w:cs="Times New Roman"/>
          <w:color w:val="auto"/>
          <w:spacing w:val="0"/>
          <w:highlight w:val="none"/>
        </w:rPr>
        <w:t>设备提供自到货日起不少于六年的“三包”质量保证。在质保期后、设备生命周期内，投标方应保证备品备件的供应满足投标服务响应要求。如发生产品损坏，投标方应及时为设备提供维修部件，并按最近的投标价提供；</w:t>
      </w:r>
    </w:p>
    <w:p>
      <w:pPr>
        <w:pStyle w:val="29"/>
        <w:spacing w:line="360" w:lineRule="auto"/>
        <w:ind w:firstLine="420"/>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（3）</w:t>
      </w:r>
      <w:r>
        <w:rPr>
          <w:rFonts w:hint="default" w:ascii="Times New Roman" w:hAnsi="Times New Roman" w:eastAsia="宋体" w:cs="Times New Roman"/>
          <w:b w:val="0"/>
          <w:bCs w:val="0"/>
          <w:color w:val="auto"/>
          <w:spacing w:val="0"/>
          <w:highlight w:val="none"/>
        </w:rPr>
        <w:t xml:space="preserve"> </w:t>
      </w:r>
      <w:r>
        <w:rPr>
          <w:rFonts w:hint="default" w:ascii="Times New Roman" w:hAnsi="Times New Roman" w:cs="Times New Roman"/>
          <w:color w:val="auto"/>
          <w:spacing w:val="0"/>
          <w:highlight w:val="none"/>
        </w:rPr>
        <w:t>投标方保证其提供的产品是全新的、未使用过的，所有合同货物本体、附件及螺栓、螺帽、等部件必须防腐防锈，质保期内不得出现锈蚀、开裂，否则应无条件更换；质保期后但在投运30年内，出现喷漆脱落、锈蚀等任何影响合同货物外观的损坏，投标方应免费处理。投标方保证其产品在正确安装、正常操作情况下，运行安全、可靠。在合同货物质量保证期内，如发现投标方提供的合同货物有缺陷，不符合合同约定时，招标方可向投标方提出索赔；</w:t>
      </w:r>
    </w:p>
    <w:p>
      <w:pPr>
        <w:pStyle w:val="29"/>
        <w:spacing w:line="360" w:lineRule="auto"/>
        <w:ind w:firstLine="420"/>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（4）</w:t>
      </w:r>
      <w:r>
        <w:rPr>
          <w:rFonts w:hint="default" w:ascii="Times New Roman" w:hAnsi="Times New Roman" w:cs="Times New Roman"/>
          <w:color w:val="auto"/>
          <w:spacing w:val="0"/>
          <w:highlight w:val="none"/>
        </w:rPr>
        <w:t>订购的</w:t>
      </w:r>
      <w:r>
        <w:rPr>
          <w:rFonts w:hint="default" w:ascii="Times New Roman" w:hAnsi="Times New Roman" w:cs="Times New Roman"/>
          <w:color w:val="auto"/>
          <w:highlight w:val="none"/>
        </w:rPr>
        <w:t>新型</w:t>
      </w:r>
      <w:r>
        <w:rPr>
          <w:rFonts w:hint="default" w:ascii="Times New Roman" w:hAnsi="Times New Roman" w:cs="Times New Roman"/>
          <w:color w:val="auto"/>
          <w:spacing w:val="0"/>
          <w:highlight w:val="none"/>
        </w:rPr>
        <w:t>产品除应满足本标准外，投标方还应提供该产品的鉴定证书；</w:t>
      </w:r>
    </w:p>
    <w:p>
      <w:pPr>
        <w:pStyle w:val="29"/>
        <w:spacing w:line="360" w:lineRule="auto"/>
        <w:ind w:firstLine="420"/>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（5）</w:t>
      </w:r>
      <w:r>
        <w:rPr>
          <w:rFonts w:hint="default" w:ascii="Times New Roman" w:hAnsi="Times New Roman" w:eastAsia="宋体" w:cs="Times New Roman"/>
          <w:color w:val="auto"/>
          <w:spacing w:val="0"/>
          <w:highlight w:val="none"/>
        </w:rPr>
        <w:t xml:space="preserve"> </w:t>
      </w:r>
      <w:r>
        <w:rPr>
          <w:rFonts w:hint="default" w:ascii="Times New Roman" w:hAnsi="Times New Roman" w:cs="Times New Roman"/>
          <w:color w:val="auto"/>
          <w:spacing w:val="0"/>
          <w:highlight w:val="none"/>
        </w:rPr>
        <w:t>投标方应保证制造过程中的所有工艺、材料试验等（包括投标方的外购件在内）均应符合本标准的规定。若招标方根据运行经验指定投标方提供某种外购零部件，投标方应积极配合；</w:t>
      </w:r>
    </w:p>
    <w:p>
      <w:pPr>
        <w:pStyle w:val="29"/>
        <w:spacing w:line="360" w:lineRule="auto"/>
        <w:ind w:firstLine="420" w:firstLineChars="0"/>
        <w:rPr>
          <w:rFonts w:hint="default" w:ascii="Times New Roman" w:hAnsi="Times New Roman" w:cs="Times New Roman"/>
          <w:color w:val="auto"/>
          <w:spacing w:val="0"/>
          <w:highlight w:val="none"/>
        </w:rPr>
      </w:pPr>
      <w:r>
        <w:rPr>
          <w:rFonts w:hint="default" w:ascii="Times New Roman" w:hAnsi="Times New Roman" w:cs="Times New Roman"/>
          <w:b w:val="0"/>
          <w:bCs w:val="0"/>
          <w:color w:val="auto"/>
          <w:highlight w:val="none"/>
          <w:lang w:val="en-US" w:eastAsia="zh-CN"/>
        </w:rPr>
        <w:t>（6）</w:t>
      </w:r>
      <w:r>
        <w:rPr>
          <w:rFonts w:hint="default" w:ascii="Times New Roman" w:hAnsi="Times New Roman" w:eastAsia="宋体" w:cs="Times New Roman"/>
          <w:b w:val="0"/>
          <w:bCs w:val="0"/>
          <w:color w:val="auto"/>
          <w:spacing w:val="0"/>
          <w:highlight w:val="none"/>
        </w:rPr>
        <w:t xml:space="preserve"> </w:t>
      </w:r>
      <w:r>
        <w:rPr>
          <w:rFonts w:hint="default" w:ascii="Times New Roman" w:hAnsi="Times New Roman" w:cs="Times New Roman"/>
          <w:color w:val="auto"/>
          <w:spacing w:val="0"/>
          <w:highlight w:val="none"/>
        </w:rPr>
        <w:t>附属及配套设备必须满足有关行业标准的要求，并提供试验报告和产品合格证；</w:t>
      </w:r>
    </w:p>
    <w:p>
      <w:pPr>
        <w:pStyle w:val="29"/>
        <w:spacing w:line="360" w:lineRule="auto"/>
        <w:ind w:firstLine="420"/>
        <w:rPr>
          <w:rFonts w:hint="default" w:ascii="Times New Roman" w:hAnsi="Times New Roman" w:cs="Times New Roman"/>
          <w:b/>
          <w:bCs/>
          <w:color w:val="auto"/>
          <w:spacing w:val="0"/>
          <w:highlight w:val="none"/>
        </w:rPr>
      </w:pPr>
      <w:r>
        <w:rPr>
          <w:rFonts w:hint="default" w:ascii="Times New Roman" w:hAnsi="Times New Roman" w:cs="Times New Roman"/>
          <w:b w:val="0"/>
          <w:bCs w:val="0"/>
          <w:color w:val="auto"/>
          <w:highlight w:val="none"/>
          <w:lang w:val="en-US" w:eastAsia="zh-CN"/>
        </w:rPr>
        <w:t>（7）</w:t>
      </w:r>
      <w:r>
        <w:rPr>
          <w:rFonts w:hint="default" w:ascii="Times New Roman" w:hAnsi="Times New Roman" w:eastAsia="宋体" w:cs="Times New Roman"/>
          <w:color w:val="auto"/>
          <w:spacing w:val="0"/>
          <w:highlight w:val="none"/>
        </w:rPr>
        <w:t xml:space="preserve"> </w:t>
      </w:r>
      <w:r>
        <w:rPr>
          <w:rFonts w:hint="default" w:ascii="Times New Roman" w:hAnsi="Times New Roman" w:cs="Times New Roman"/>
          <w:color w:val="auto"/>
          <w:spacing w:val="0"/>
          <w:highlight w:val="none"/>
        </w:rPr>
        <w:t>标方应有遵守本标准中各条款和工作项目的ISO9000-GB/T19000质量保证体系，该质量保证体系已经通过国家认证并在正常运转。</w:t>
      </w:r>
    </w:p>
    <w:bookmarkEnd w:id="0"/>
    <w:bookmarkEnd w:id="1"/>
    <w:bookmarkEnd w:id="436"/>
    <w:p>
      <w:pPr>
        <w:pStyle w:val="25"/>
        <w:spacing w:before="317" w:after="317"/>
        <w:rPr>
          <w:rFonts w:hint="default" w:ascii="Times New Roman" w:hAnsi="Times New Roman" w:cs="Times New Roman"/>
          <w:b/>
          <w:bCs/>
          <w:color w:val="auto"/>
          <w:highlight w:val="none"/>
        </w:rPr>
      </w:pPr>
      <w:bookmarkStart w:id="452" w:name="_Toc13837"/>
      <w:bookmarkStart w:id="453" w:name="_Toc25956"/>
      <w:bookmarkStart w:id="454" w:name="_Toc29036"/>
      <w:r>
        <w:rPr>
          <w:rFonts w:hint="default" w:ascii="Times New Roman" w:hAnsi="Times New Roman" w:cs="Times New Roman"/>
          <w:b/>
          <w:bCs/>
          <w:color w:val="auto"/>
          <w:spacing w:val="0"/>
          <w:kern w:val="0"/>
          <w:szCs w:val="20"/>
          <w:highlight w:val="none"/>
          <w:lang w:val="en-US" w:eastAsia="zh-CN"/>
        </w:rPr>
        <w:t xml:space="preserve">9.6 </w:t>
      </w:r>
      <w:r>
        <w:rPr>
          <w:rFonts w:hint="default" w:ascii="Times New Roman" w:hAnsi="Times New Roman" w:cs="Times New Roman"/>
          <w:b/>
          <w:bCs/>
          <w:color w:val="auto"/>
          <w:highlight w:val="none"/>
        </w:rPr>
        <w:t>技术文件要求</w:t>
      </w:r>
      <w:bookmarkEnd w:id="452"/>
      <w:bookmarkEnd w:id="453"/>
      <w:bookmarkEnd w:id="454"/>
    </w:p>
    <w:p>
      <w:pPr>
        <w:pStyle w:val="30"/>
        <w:spacing w:line="360" w:lineRule="auto"/>
        <w:ind w:firstLine="420" w:firstLineChars="200"/>
        <w:outlineLvl w:val="9"/>
        <w:rPr>
          <w:rFonts w:hint="default" w:ascii="Times New Roman" w:hAnsi="Times New Roman" w:eastAsia="宋体" w:cs="Times New Roman"/>
          <w:b w:val="0"/>
          <w:color w:val="auto"/>
          <w:highlight w:val="none"/>
        </w:rPr>
      </w:pPr>
      <w:r>
        <w:rPr>
          <w:rFonts w:hint="default" w:ascii="Times New Roman" w:hAnsi="Times New Roman" w:cs="Times New Roman"/>
          <w:b w:val="0"/>
          <w:color w:val="auto"/>
          <w:highlight w:val="none"/>
        </w:rPr>
        <w:t>1）</w:t>
      </w:r>
      <w:r>
        <w:rPr>
          <w:rFonts w:hint="default" w:ascii="Times New Roman" w:hAnsi="Times New Roman" w:eastAsia="宋体" w:cs="Times New Roman"/>
          <w:b w:val="0"/>
          <w:color w:val="auto"/>
          <w:highlight w:val="none"/>
        </w:rPr>
        <w:t>变压器总装图、基础图、电气原理图等(包括变压器总体外形尺寸、各种重量、起吊位置、接线端子尺寸和位置、接地端子位置和端子尺寸、基础尺寸和要求等)。</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2）</w:t>
      </w:r>
      <w:r>
        <w:rPr>
          <w:rFonts w:hint="default" w:ascii="Times New Roman" w:hAnsi="Times New Roman" w:eastAsia="宋体" w:cs="Times New Roman"/>
          <w:b w:val="0"/>
          <w:color w:val="auto"/>
          <w:highlight w:val="none"/>
        </w:rPr>
        <w:t>变压器铭牌或铭牌标志图。</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3）</w:t>
      </w:r>
      <w:r>
        <w:rPr>
          <w:rFonts w:hint="default" w:ascii="Times New Roman" w:hAnsi="Times New Roman" w:eastAsia="宋体" w:cs="Times New Roman"/>
          <w:b w:val="0"/>
          <w:color w:val="auto"/>
          <w:highlight w:val="none"/>
        </w:rPr>
        <w:t>变压器本体运输尺寸图。</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4）</w:t>
      </w:r>
      <w:r>
        <w:rPr>
          <w:rFonts w:hint="default" w:ascii="Times New Roman" w:hAnsi="Times New Roman" w:eastAsia="宋体" w:cs="Times New Roman"/>
          <w:b w:val="0"/>
          <w:color w:val="auto"/>
          <w:highlight w:val="none"/>
        </w:rPr>
        <w:t>产品合格证书，包括变压器合格证书、主要组部件合格证书。</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5）</w:t>
      </w:r>
      <w:r>
        <w:rPr>
          <w:rFonts w:hint="default" w:ascii="Times New Roman" w:hAnsi="Times New Roman" w:eastAsia="宋体" w:cs="Times New Roman"/>
          <w:b w:val="0"/>
          <w:color w:val="auto"/>
          <w:highlight w:val="none"/>
        </w:rPr>
        <w:t>产品试验报告，包括变压器出厂、型式和特殊试验报告、主要组部件试验报告及关键材料的批次性检测报告。</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 xml:space="preserve">6） </w:t>
      </w:r>
      <w:r>
        <w:rPr>
          <w:rFonts w:hint="default" w:ascii="Times New Roman" w:hAnsi="Times New Roman" w:eastAsia="宋体" w:cs="Times New Roman"/>
          <w:b w:val="0"/>
          <w:color w:val="auto"/>
          <w:highlight w:val="none"/>
        </w:rPr>
        <w:t>风冷过热保护装置及其控制回路图；状态量监测装置安装使用维护说明书。</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7）</w:t>
      </w:r>
      <w:r>
        <w:rPr>
          <w:rFonts w:hint="default" w:ascii="Times New Roman" w:hAnsi="Times New Roman" w:eastAsia="宋体" w:cs="Times New Roman"/>
          <w:b w:val="0"/>
          <w:color w:val="auto"/>
          <w:highlight w:val="none"/>
        </w:rPr>
        <w:t>变压器安装使用说明书。</w:t>
      </w:r>
      <w:r>
        <w:rPr>
          <w:rFonts w:hint="default" w:ascii="Times New Roman" w:hAnsi="Times New Roman" w:cs="Times New Roman"/>
          <w:b w:val="0"/>
          <w:color w:val="auto"/>
          <w:highlight w:val="none"/>
        </w:rPr>
        <w:t xml:space="preserve"> </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8）</w:t>
      </w:r>
      <w:r>
        <w:rPr>
          <w:rFonts w:hint="default" w:ascii="Times New Roman" w:hAnsi="Times New Roman" w:eastAsia="宋体" w:cs="Times New Roman"/>
          <w:b w:val="0"/>
          <w:color w:val="auto"/>
          <w:highlight w:val="none"/>
        </w:rPr>
        <w:t>其他仪表的使用说明书。</w:t>
      </w:r>
    </w:p>
    <w:p>
      <w:pPr>
        <w:pStyle w:val="30"/>
        <w:spacing w:line="360" w:lineRule="auto"/>
        <w:ind w:firstLine="420" w:firstLineChars="200"/>
        <w:outlineLvl w:val="9"/>
        <w:rPr>
          <w:rFonts w:hint="default" w:ascii="Times New Roman" w:hAnsi="Times New Roman" w:cs="Times New Roman"/>
          <w:color w:val="auto"/>
          <w:highlight w:val="none"/>
        </w:rPr>
      </w:pPr>
      <w:r>
        <w:rPr>
          <w:rFonts w:hint="default" w:ascii="Times New Roman" w:hAnsi="Times New Roman" w:cs="Times New Roman"/>
          <w:b w:val="0"/>
          <w:color w:val="auto"/>
          <w:highlight w:val="none"/>
        </w:rPr>
        <w:t>9）</w:t>
      </w:r>
      <w:r>
        <w:rPr>
          <w:rFonts w:hint="default" w:ascii="Times New Roman" w:hAnsi="Times New Roman" w:eastAsia="宋体" w:cs="Times New Roman"/>
          <w:b w:val="0"/>
          <w:color w:val="auto"/>
          <w:highlight w:val="none"/>
        </w:rPr>
        <w:t>运行、检修手册及其有关资料。</w:t>
      </w:r>
    </w:p>
    <w:p>
      <w:pPr>
        <w:pStyle w:val="30"/>
        <w:spacing w:line="360" w:lineRule="auto"/>
        <w:ind w:firstLine="420" w:firstLineChars="200"/>
        <w:outlineLvl w:val="9"/>
        <w:rPr>
          <w:rFonts w:hint="default" w:ascii="Times New Roman" w:hAnsi="Times New Roman" w:eastAsia="宋体" w:cs="Times New Roman"/>
          <w:b w:val="0"/>
          <w:color w:val="auto"/>
          <w:highlight w:val="none"/>
        </w:rPr>
      </w:pPr>
      <w:r>
        <w:rPr>
          <w:rFonts w:hint="default" w:ascii="Times New Roman" w:hAnsi="Times New Roman" w:cs="Times New Roman"/>
          <w:b w:val="0"/>
          <w:color w:val="auto"/>
          <w:highlight w:val="none"/>
        </w:rPr>
        <w:t>10）</w:t>
      </w:r>
      <w:r>
        <w:rPr>
          <w:rFonts w:hint="default" w:ascii="Times New Roman" w:hAnsi="Times New Roman" w:eastAsia="宋体" w:cs="Times New Roman"/>
          <w:b w:val="0"/>
          <w:color w:val="auto"/>
          <w:highlight w:val="none"/>
        </w:rPr>
        <w:t>备品备件等清单。</w:t>
      </w:r>
    </w:p>
    <w:p>
      <w:pPr>
        <w:pStyle w:val="29"/>
        <w:ind w:left="0" w:leftChars="0" w:firstLine="0" w:firstLineChars="0"/>
        <w:rPr>
          <w:rFonts w:hint="default" w:ascii="Times New Roman" w:hAnsi="Times New Roman" w:eastAsia="宋体" w:cs="Times New Roman"/>
          <w:b w:val="0"/>
          <w:color w:val="auto"/>
          <w:highlight w:val="none"/>
        </w:rPr>
      </w:pPr>
    </w:p>
    <w:p>
      <w:pPr>
        <w:rPr>
          <w:rFonts w:hint="default" w:ascii="Times New Roman" w:hAnsi="Times New Roman" w:eastAsia="宋体" w:cs="Times New Roman"/>
          <w:b w:val="0"/>
          <w:color w:val="auto"/>
          <w:highlight w:val="none"/>
        </w:rPr>
      </w:pPr>
    </w:p>
    <w:p>
      <w:pPr>
        <w:rPr>
          <w:rFonts w:hint="default" w:ascii="Times New Roman" w:hAnsi="Times New Roman" w:cs="Times New Roman"/>
        </w:rPr>
        <w:sectPr>
          <w:footerReference r:id="rId11" w:type="default"/>
          <w:pgSz w:w="11907" w:h="16839"/>
          <w:pgMar w:top="1077" w:right="1304" w:bottom="1077" w:left="1304" w:header="425" w:footer="510" w:gutter="0"/>
          <w:pgBorders>
            <w:top w:val="none" w:sz="0" w:space="0"/>
            <w:left w:val="none" w:sz="0" w:space="0"/>
            <w:bottom w:val="none" w:sz="0" w:space="0"/>
            <w:right w:val="none" w:sz="0" w:space="0"/>
          </w:pgBorders>
          <w:pgNumType w:fmt="decimal" w:start="1"/>
          <w:cols w:space="720" w:num="1"/>
          <w:docGrid w:linePitch="312" w:charSpace="0"/>
        </w:sectPr>
      </w:pPr>
    </w:p>
    <w:p>
      <w:pPr>
        <w:pStyle w:val="29"/>
        <w:ind w:left="0" w:leftChars="0" w:firstLine="0" w:firstLineChars="0"/>
        <w:rPr>
          <w:rFonts w:hint="default" w:ascii="Times New Roman" w:hAnsi="Times New Roman" w:cs="Times New Roman"/>
        </w:rPr>
      </w:pPr>
    </w:p>
    <w:p>
      <w:pPr>
        <w:pStyle w:val="27"/>
        <w:spacing w:line="400" w:lineRule="atLeast"/>
        <w:rPr>
          <w:rFonts w:hint="default" w:ascii="Times New Roman" w:hAnsi="Times New Roman" w:cs="Times New Roman"/>
          <w:color w:val="auto"/>
          <w:highlight w:val="none"/>
        </w:rPr>
      </w:pPr>
      <w:bookmarkStart w:id="455" w:name="_Toc15613"/>
      <w:bookmarkStart w:id="456" w:name="_Toc14390"/>
      <w:bookmarkStart w:id="457" w:name="_Toc38157390"/>
      <w:bookmarkStart w:id="458" w:name="_Toc17124"/>
      <w:bookmarkStart w:id="459" w:name="_Toc28437"/>
      <w:bookmarkStart w:id="460" w:name="_Toc9313"/>
      <w:bookmarkStart w:id="461" w:name="_Toc24978"/>
      <w:bookmarkStart w:id="462" w:name="_Toc2490"/>
      <w:bookmarkStart w:id="463" w:name="_Toc419746490"/>
      <w:r>
        <w:rPr>
          <w:rFonts w:hint="default" w:ascii="Times New Roman" w:hAnsi="Times New Roman" w:cs="Times New Roman"/>
          <w:color w:val="auto"/>
          <w:highlight w:val="none"/>
        </w:rPr>
        <w:t>附录A 铭牌示意图</w:t>
      </w:r>
      <w:bookmarkEnd w:id="455"/>
      <w:bookmarkEnd w:id="456"/>
      <w:bookmarkEnd w:id="457"/>
      <w:bookmarkEnd w:id="458"/>
      <w:bookmarkEnd w:id="459"/>
      <w:bookmarkEnd w:id="460"/>
      <w:bookmarkEnd w:id="461"/>
      <w:bookmarkEnd w:id="462"/>
      <w:bookmarkEnd w:id="463"/>
    </w:p>
    <w:p>
      <w:pPr>
        <w:pStyle w:val="29"/>
        <w:spacing w:line="240" w:lineRule="auto"/>
        <w:ind w:firstLine="420"/>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drawing>
          <wp:inline distT="0" distB="0" distL="114300" distR="114300">
            <wp:extent cx="5279390" cy="2945765"/>
            <wp:effectExtent l="0" t="0" r="16510" b="6985"/>
            <wp:docPr id="1" name="图片 1" descr="干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干变"/>
                    <pic:cNvPicPr>
                      <a:picLocks noChangeAspect="1"/>
                    </pic:cNvPicPr>
                  </pic:nvPicPr>
                  <pic:blipFill>
                    <a:blip r:embed="rId29"/>
                    <a:stretch>
                      <a:fillRect/>
                    </a:stretch>
                  </pic:blipFill>
                  <pic:spPr>
                    <a:xfrm>
                      <a:off x="0" y="0"/>
                      <a:ext cx="5279390" cy="2945765"/>
                    </a:xfrm>
                    <a:prstGeom prst="rect">
                      <a:avLst/>
                    </a:prstGeom>
                  </pic:spPr>
                </pic:pic>
              </a:graphicData>
            </a:graphic>
          </wp:inline>
        </w:drawing>
      </w:r>
    </w:p>
    <w:p>
      <w:pPr>
        <w:pStyle w:val="29"/>
        <w:spacing w:line="360" w:lineRule="auto"/>
        <w:ind w:firstLine="360"/>
        <w:jc w:val="center"/>
        <w:outlineLvl w:val="9"/>
        <w:rPr>
          <w:rFonts w:hint="default" w:ascii="Times New Roman" w:hAnsi="Times New Roman" w:eastAsia="黑体" w:cs="Times New Roman"/>
          <w:color w:val="auto"/>
          <w:sz w:val="18"/>
          <w:highlight w:val="none"/>
        </w:rPr>
      </w:pPr>
      <w:bookmarkStart w:id="464" w:name="_Toc10972_WPSOffice_Level1"/>
      <w:bookmarkStart w:id="465" w:name="_Toc11494"/>
      <w:r>
        <w:rPr>
          <w:rFonts w:hint="default" w:ascii="Times New Roman" w:hAnsi="Times New Roman" w:eastAsia="黑体" w:cs="Times New Roman"/>
          <w:color w:val="auto"/>
          <w:sz w:val="18"/>
          <w:highlight w:val="none"/>
        </w:rPr>
        <w:t>附图1 铭牌示意图</w:t>
      </w:r>
      <w:bookmarkEnd w:id="464"/>
      <w:bookmarkEnd w:id="465"/>
    </w:p>
    <w:p>
      <w:pPr>
        <w:pStyle w:val="29"/>
        <w:spacing w:line="360" w:lineRule="auto"/>
        <w:ind w:firstLine="360"/>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注：南网资产标识区域应至少预留30mm宽度。</w:t>
      </w:r>
    </w:p>
    <w:p>
      <w:pPr>
        <w:rPr>
          <w:rFonts w:hint="default" w:ascii="Times New Roman" w:hAnsi="Times New Roman" w:cs="Times New Roman"/>
          <w:color w:val="auto"/>
          <w:highlight w:val="none"/>
        </w:rPr>
      </w:pPr>
    </w:p>
    <w:sectPr>
      <w:footerReference r:id="rId12" w:type="default"/>
      <w:type w:val="continuous"/>
      <w:pgSz w:w="16839" w:h="11907" w:orient="landscape"/>
      <w:pgMar w:top="1304" w:right="1077" w:bottom="1304" w:left="1077" w:header="425" w:footer="510"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EU-F1">
    <w:altName w:val="黑体"/>
    <w:panose1 w:val="00000000000000000000"/>
    <w:charset w:val="86"/>
    <w:family w:val="auto"/>
    <w:pitch w:val="default"/>
    <w:sig w:usb0="00000000" w:usb1="00000000" w:usb2="00000010" w:usb3="00000000" w:csb0="00040000" w:csb1="00000000"/>
  </w:font>
  <w:font w:name="TimesNewRoman">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宋体" w:hAnsi="宋体"/>
      </w:rPr>
    </w:pPr>
  </w:p>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宋体" w:hAnsi="宋体"/>
      </w:rPr>
    </w:pPr>
  </w:p>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宋体" w:hAnsi="宋体"/>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w:t>
                    </w:r>
                  </w:p>
                </w:txbxContent>
              </v:textbox>
            </v:shape>
          </w:pict>
        </mc:Fallback>
      </mc:AlternateContent>
    </w:r>
  </w:p>
  <w:p>
    <w:pPr>
      <w:rPr>
        <w:rStyle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w:t>
                    </w:r>
                  </w:p>
                </w:txbxContent>
              </v:textbox>
            </v:shape>
          </w:pict>
        </mc:Fallback>
      </mc:AlternateContent>
    </w:r>
  </w:p>
  <w:p>
    <w:pPr>
      <w:rPr>
        <w:rStyle w:val="2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rFonts w:hint="eastAsia"/>
      </w:rPr>
      <w:t>南方电网公司物资采购标准                                           10kV干式配电变压器采购标准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single" w:color="auto" w:sz="4" w:space="0"/>
      </w:pBdr>
      <w:spacing w:after="90" w:line="23" w:lineRule="atLeast"/>
      <w:jc w:val="center"/>
    </w:pPr>
    <w:r>
      <w:rPr>
        <w:rFonts w:ascii="宋体" w:hAnsi="宋体" w:cs="宋体"/>
        <w:kern w:val="0"/>
        <w:szCs w:val="21"/>
        <w:lang w:bidi="ar"/>
      </w:rPr>
      <w:t>10kV干式</w:t>
    </w:r>
    <w:r>
      <w:rPr>
        <w:rFonts w:hint="eastAsia" w:ascii="宋体" w:hAnsi="宋体" w:cs="宋体"/>
        <w:kern w:val="0"/>
        <w:sz w:val="20"/>
        <w:szCs w:val="20"/>
        <w:lang w:val="en-US" w:eastAsia="zh-CN" w:bidi="ar"/>
      </w:rPr>
      <w:t>铜绕组</w:t>
    </w:r>
    <w:r>
      <w:rPr>
        <w:rFonts w:ascii="宋体" w:hAnsi="宋体" w:cs="宋体"/>
        <w:kern w:val="0"/>
        <w:szCs w:val="21"/>
        <w:lang w:bidi="ar"/>
      </w:rPr>
      <w:t>配电变压器技术规范书</w:t>
    </w:r>
    <w:r>
      <w:rPr>
        <w:rFonts w:hint="eastAsia"/>
        <w:lang w:eastAsia="zh-CN"/>
      </w:rPr>
      <w:t>（</w:t>
    </w:r>
    <w:r>
      <w:rPr>
        <w:rFonts w:hint="eastAsia"/>
        <w:lang w:val="en-US" w:eastAsia="zh-CN"/>
      </w:rPr>
      <w:t>通用部分</w:t>
    </w:r>
    <w:r>
      <w:rPr>
        <w:rFonts w:hint="eastAsia"/>
        <w:lang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2NzgzMTEwYjBiYWIwNDQzMzcxMjJlMWMwY2Q4NjMifQ=="/>
  </w:docVars>
  <w:rsids>
    <w:rsidRoot w:val="00172A27"/>
    <w:rsid w:val="000133CA"/>
    <w:rsid w:val="000904B7"/>
    <w:rsid w:val="00136B80"/>
    <w:rsid w:val="0015218A"/>
    <w:rsid w:val="001B1240"/>
    <w:rsid w:val="001B6BAC"/>
    <w:rsid w:val="001E1B89"/>
    <w:rsid w:val="0023261A"/>
    <w:rsid w:val="00267E24"/>
    <w:rsid w:val="00274026"/>
    <w:rsid w:val="00294BFE"/>
    <w:rsid w:val="002C0FFE"/>
    <w:rsid w:val="002F50FC"/>
    <w:rsid w:val="00316183"/>
    <w:rsid w:val="003171AF"/>
    <w:rsid w:val="00336D21"/>
    <w:rsid w:val="003618CA"/>
    <w:rsid w:val="00375689"/>
    <w:rsid w:val="00412F9D"/>
    <w:rsid w:val="00422782"/>
    <w:rsid w:val="00446E9A"/>
    <w:rsid w:val="00447B0A"/>
    <w:rsid w:val="0048483E"/>
    <w:rsid w:val="004C5339"/>
    <w:rsid w:val="004D7104"/>
    <w:rsid w:val="0054020B"/>
    <w:rsid w:val="0054043B"/>
    <w:rsid w:val="00567020"/>
    <w:rsid w:val="005774A8"/>
    <w:rsid w:val="00600E1E"/>
    <w:rsid w:val="0061676F"/>
    <w:rsid w:val="006172F4"/>
    <w:rsid w:val="006765CC"/>
    <w:rsid w:val="006929BE"/>
    <w:rsid w:val="00696566"/>
    <w:rsid w:val="006C0103"/>
    <w:rsid w:val="006C3ED1"/>
    <w:rsid w:val="006E7759"/>
    <w:rsid w:val="007476D5"/>
    <w:rsid w:val="00776B91"/>
    <w:rsid w:val="007827DE"/>
    <w:rsid w:val="007D04A6"/>
    <w:rsid w:val="007E0C4D"/>
    <w:rsid w:val="007F0464"/>
    <w:rsid w:val="008025D2"/>
    <w:rsid w:val="00811E76"/>
    <w:rsid w:val="00831408"/>
    <w:rsid w:val="0085430D"/>
    <w:rsid w:val="008771FD"/>
    <w:rsid w:val="0088455C"/>
    <w:rsid w:val="0090430A"/>
    <w:rsid w:val="0094130D"/>
    <w:rsid w:val="009477AA"/>
    <w:rsid w:val="00981E31"/>
    <w:rsid w:val="009D0DD3"/>
    <w:rsid w:val="009F0FDD"/>
    <w:rsid w:val="00A03113"/>
    <w:rsid w:val="00A26C4D"/>
    <w:rsid w:val="00A46E23"/>
    <w:rsid w:val="00AB4976"/>
    <w:rsid w:val="00AC4F76"/>
    <w:rsid w:val="00AF59A9"/>
    <w:rsid w:val="00B601A8"/>
    <w:rsid w:val="00BA4C4A"/>
    <w:rsid w:val="00BB2092"/>
    <w:rsid w:val="00BC2F50"/>
    <w:rsid w:val="00BD1E98"/>
    <w:rsid w:val="00BD48C4"/>
    <w:rsid w:val="00C9339E"/>
    <w:rsid w:val="00CB0D35"/>
    <w:rsid w:val="00CB6433"/>
    <w:rsid w:val="00D26B38"/>
    <w:rsid w:val="00D726E1"/>
    <w:rsid w:val="00D908B7"/>
    <w:rsid w:val="00DB1789"/>
    <w:rsid w:val="00E31CD7"/>
    <w:rsid w:val="00F05CEB"/>
    <w:rsid w:val="00F3059F"/>
    <w:rsid w:val="00F3236B"/>
    <w:rsid w:val="00F61452"/>
    <w:rsid w:val="00F836DA"/>
    <w:rsid w:val="00FC1AF4"/>
    <w:rsid w:val="00FC6CA8"/>
    <w:rsid w:val="00FD40F6"/>
    <w:rsid w:val="014F6973"/>
    <w:rsid w:val="01FB23CB"/>
    <w:rsid w:val="02513505"/>
    <w:rsid w:val="025671CA"/>
    <w:rsid w:val="02672C4F"/>
    <w:rsid w:val="04800328"/>
    <w:rsid w:val="04A67ACD"/>
    <w:rsid w:val="05804462"/>
    <w:rsid w:val="058D0C85"/>
    <w:rsid w:val="05BF1208"/>
    <w:rsid w:val="064253FF"/>
    <w:rsid w:val="078E5346"/>
    <w:rsid w:val="08114C8C"/>
    <w:rsid w:val="08183D64"/>
    <w:rsid w:val="0836702D"/>
    <w:rsid w:val="085408AF"/>
    <w:rsid w:val="088F6D0D"/>
    <w:rsid w:val="0949409D"/>
    <w:rsid w:val="0A4F6FD0"/>
    <w:rsid w:val="0ADA2AD4"/>
    <w:rsid w:val="0B3C1C06"/>
    <w:rsid w:val="0D814EEB"/>
    <w:rsid w:val="0DD8645F"/>
    <w:rsid w:val="0E827AB3"/>
    <w:rsid w:val="0EA86FE9"/>
    <w:rsid w:val="0EB82CE9"/>
    <w:rsid w:val="0F601D8A"/>
    <w:rsid w:val="0F6C54DC"/>
    <w:rsid w:val="0FC21D40"/>
    <w:rsid w:val="107445AA"/>
    <w:rsid w:val="10805480"/>
    <w:rsid w:val="114F30AB"/>
    <w:rsid w:val="118A0CD4"/>
    <w:rsid w:val="12543352"/>
    <w:rsid w:val="12BE2F0F"/>
    <w:rsid w:val="12E72F29"/>
    <w:rsid w:val="188658F5"/>
    <w:rsid w:val="18F622BF"/>
    <w:rsid w:val="19650CB7"/>
    <w:rsid w:val="19794E34"/>
    <w:rsid w:val="198234F0"/>
    <w:rsid w:val="1A1F0242"/>
    <w:rsid w:val="1A727198"/>
    <w:rsid w:val="1AAB3FA1"/>
    <w:rsid w:val="1AE00D50"/>
    <w:rsid w:val="1C2A742E"/>
    <w:rsid w:val="1CDE5FFB"/>
    <w:rsid w:val="1F643494"/>
    <w:rsid w:val="1FFD038E"/>
    <w:rsid w:val="203434E5"/>
    <w:rsid w:val="21623256"/>
    <w:rsid w:val="22761194"/>
    <w:rsid w:val="22C06300"/>
    <w:rsid w:val="23AB3313"/>
    <w:rsid w:val="24177869"/>
    <w:rsid w:val="25480140"/>
    <w:rsid w:val="254F6CD1"/>
    <w:rsid w:val="2561169E"/>
    <w:rsid w:val="2563439D"/>
    <w:rsid w:val="26504AF3"/>
    <w:rsid w:val="282B2DE5"/>
    <w:rsid w:val="282D1FE8"/>
    <w:rsid w:val="282F4DD8"/>
    <w:rsid w:val="28CD18BF"/>
    <w:rsid w:val="28F24ED2"/>
    <w:rsid w:val="29146268"/>
    <w:rsid w:val="297B5BBA"/>
    <w:rsid w:val="29A27051"/>
    <w:rsid w:val="2AC40FCB"/>
    <w:rsid w:val="2ACA3C43"/>
    <w:rsid w:val="2B414554"/>
    <w:rsid w:val="2C5B5CF7"/>
    <w:rsid w:val="2CC47634"/>
    <w:rsid w:val="2D584F51"/>
    <w:rsid w:val="2DA12463"/>
    <w:rsid w:val="2E077F39"/>
    <w:rsid w:val="2E1446D2"/>
    <w:rsid w:val="2FCD1486"/>
    <w:rsid w:val="2FF63FA8"/>
    <w:rsid w:val="30937A49"/>
    <w:rsid w:val="30C725AE"/>
    <w:rsid w:val="31653139"/>
    <w:rsid w:val="325B2875"/>
    <w:rsid w:val="325B748A"/>
    <w:rsid w:val="333E320C"/>
    <w:rsid w:val="334B259E"/>
    <w:rsid w:val="33F302C5"/>
    <w:rsid w:val="347C7E94"/>
    <w:rsid w:val="34A21A02"/>
    <w:rsid w:val="35D228E6"/>
    <w:rsid w:val="35D655D9"/>
    <w:rsid w:val="362E60CA"/>
    <w:rsid w:val="363A0389"/>
    <w:rsid w:val="363F1456"/>
    <w:rsid w:val="36A128BC"/>
    <w:rsid w:val="36A56D72"/>
    <w:rsid w:val="37821AE4"/>
    <w:rsid w:val="37AF5BFC"/>
    <w:rsid w:val="389B31EC"/>
    <w:rsid w:val="39D3388C"/>
    <w:rsid w:val="3AA27206"/>
    <w:rsid w:val="3ABF7734"/>
    <w:rsid w:val="3B3E261D"/>
    <w:rsid w:val="3CB66783"/>
    <w:rsid w:val="3EA45B44"/>
    <w:rsid w:val="3EBF6233"/>
    <w:rsid w:val="3F53496B"/>
    <w:rsid w:val="400D710F"/>
    <w:rsid w:val="40150405"/>
    <w:rsid w:val="40CE7E96"/>
    <w:rsid w:val="41F030C0"/>
    <w:rsid w:val="4402289D"/>
    <w:rsid w:val="442E3A67"/>
    <w:rsid w:val="44823FC0"/>
    <w:rsid w:val="456C473E"/>
    <w:rsid w:val="4702164C"/>
    <w:rsid w:val="48063FDA"/>
    <w:rsid w:val="48470B5F"/>
    <w:rsid w:val="48F361BA"/>
    <w:rsid w:val="4A1C1023"/>
    <w:rsid w:val="4BD8473F"/>
    <w:rsid w:val="4BD921A3"/>
    <w:rsid w:val="4D5A05DE"/>
    <w:rsid w:val="4DA2718F"/>
    <w:rsid w:val="4EE41DF2"/>
    <w:rsid w:val="4EF67FB9"/>
    <w:rsid w:val="4F560A37"/>
    <w:rsid w:val="516F476B"/>
    <w:rsid w:val="52D13A64"/>
    <w:rsid w:val="52E8674B"/>
    <w:rsid w:val="54EA7C18"/>
    <w:rsid w:val="551746E0"/>
    <w:rsid w:val="55246C22"/>
    <w:rsid w:val="559D5069"/>
    <w:rsid w:val="55E147CF"/>
    <w:rsid w:val="56EE3693"/>
    <w:rsid w:val="578C7141"/>
    <w:rsid w:val="59850EF7"/>
    <w:rsid w:val="5BA86551"/>
    <w:rsid w:val="5D084948"/>
    <w:rsid w:val="5DF82CAD"/>
    <w:rsid w:val="5E265822"/>
    <w:rsid w:val="5EC37467"/>
    <w:rsid w:val="5ED62668"/>
    <w:rsid w:val="5FB26310"/>
    <w:rsid w:val="605C3C3A"/>
    <w:rsid w:val="607A3C2D"/>
    <w:rsid w:val="60887FC8"/>
    <w:rsid w:val="64837EDE"/>
    <w:rsid w:val="6508186B"/>
    <w:rsid w:val="66440F2E"/>
    <w:rsid w:val="673E220D"/>
    <w:rsid w:val="676D5B44"/>
    <w:rsid w:val="683B7EFD"/>
    <w:rsid w:val="69176657"/>
    <w:rsid w:val="696F1727"/>
    <w:rsid w:val="69734505"/>
    <w:rsid w:val="69991CE0"/>
    <w:rsid w:val="69C47813"/>
    <w:rsid w:val="6BA71482"/>
    <w:rsid w:val="6BD51A12"/>
    <w:rsid w:val="6C907C78"/>
    <w:rsid w:val="6CF5209B"/>
    <w:rsid w:val="6CF74CF2"/>
    <w:rsid w:val="6D4C1EF8"/>
    <w:rsid w:val="6DFC673F"/>
    <w:rsid w:val="6EB51ECE"/>
    <w:rsid w:val="6EC23DAB"/>
    <w:rsid w:val="6F2B58E1"/>
    <w:rsid w:val="6F4D1D0E"/>
    <w:rsid w:val="6FD23BF5"/>
    <w:rsid w:val="70562F0B"/>
    <w:rsid w:val="70905D41"/>
    <w:rsid w:val="71EE4438"/>
    <w:rsid w:val="72F85AE9"/>
    <w:rsid w:val="72FF518F"/>
    <w:rsid w:val="780E3F7E"/>
    <w:rsid w:val="78D311FB"/>
    <w:rsid w:val="79A97FF4"/>
    <w:rsid w:val="7A1A064F"/>
    <w:rsid w:val="7ABA6DA8"/>
    <w:rsid w:val="7B696FA4"/>
    <w:rsid w:val="7BC97BCC"/>
    <w:rsid w:val="7C4E0E53"/>
    <w:rsid w:val="7D2B1D88"/>
    <w:rsid w:val="7D764879"/>
    <w:rsid w:val="7E2D61B4"/>
    <w:rsid w:val="7E3C62A0"/>
    <w:rsid w:val="7E42423A"/>
    <w:rsid w:val="7F252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qFormat/>
    <w:uiPriority w:val="99"/>
    <w:pPr>
      <w:keepNext/>
      <w:keepLines/>
      <w:tabs>
        <w:tab w:val="left" w:pos="1276"/>
      </w:tabs>
      <w:topLinePunct/>
      <w:outlineLvl w:val="1"/>
    </w:pPr>
    <w:rPr>
      <w:rFonts w:eastAsia="黑体"/>
      <w:bCs/>
      <w:szCs w:val="21"/>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link w:val="3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7">
    <w:name w:val="caption"/>
    <w:basedOn w:val="1"/>
    <w:next w:val="1"/>
    <w:unhideWhenUsed/>
    <w:qFormat/>
    <w:uiPriority w:val="0"/>
    <w:rPr>
      <w:rFonts w:ascii="宋体" w:hAnsi="Arial" w:cs="Arial"/>
      <w:szCs w:val="20"/>
    </w:rPr>
  </w:style>
  <w:style w:type="paragraph" w:styleId="8">
    <w:name w:val="annotation text"/>
    <w:basedOn w:val="1"/>
    <w:link w:val="39"/>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Plain Text"/>
    <w:basedOn w:val="1"/>
    <w:link w:val="41"/>
    <w:unhideWhenUsed/>
    <w:qFormat/>
    <w:uiPriority w:val="99"/>
    <w:rPr>
      <w:rFonts w:ascii="宋体" w:hAnsi="Courier New" w:cstheme="minorBidi"/>
      <w:szCs w:val="20"/>
    </w:rPr>
  </w:style>
  <w:style w:type="paragraph" w:styleId="11">
    <w:name w:val="Date"/>
    <w:basedOn w:val="1"/>
    <w:next w:val="1"/>
    <w:link w:val="42"/>
    <w:unhideWhenUsed/>
    <w:qFormat/>
    <w:uiPriority w:val="99"/>
  </w:style>
  <w:style w:type="paragraph" w:styleId="12">
    <w:name w:val="Balloon Text"/>
    <w:basedOn w:val="1"/>
    <w:link w:val="43"/>
    <w:unhideWhenUsed/>
    <w:qFormat/>
    <w:uiPriority w:val="99"/>
    <w:rPr>
      <w:sz w:val="18"/>
      <w:szCs w:val="18"/>
    </w:rPr>
  </w:style>
  <w:style w:type="paragraph" w:styleId="13">
    <w:name w:val="footer"/>
    <w:basedOn w:val="1"/>
    <w:qFormat/>
    <w:uiPriority w:val="99"/>
    <w:pPr>
      <w:tabs>
        <w:tab w:val="center" w:pos="4153"/>
        <w:tab w:val="right" w:pos="8306"/>
      </w:tabs>
      <w:snapToGrid w:val="0"/>
      <w:ind w:right="210" w:rightChars="100"/>
      <w:jc w:val="right"/>
    </w:pPr>
    <w:rPr>
      <w:sz w:val="18"/>
      <w:szCs w:val="18"/>
    </w:rPr>
  </w:style>
  <w:style w:type="paragraph" w:styleId="14">
    <w:name w:val="header"/>
    <w:basedOn w:val="1"/>
    <w:link w:val="45"/>
    <w:qFormat/>
    <w:uiPriority w:val="99"/>
    <w:pPr>
      <w:pBdr>
        <w:bottom w:val="single" w:color="auto" w:sz="6" w:space="1"/>
      </w:pBdr>
      <w:tabs>
        <w:tab w:val="center" w:pos="4153"/>
        <w:tab w:val="right" w:pos="8306"/>
      </w:tabs>
      <w:snapToGrid w:val="0"/>
      <w:jc w:val="center"/>
    </w:pPr>
    <w:rPr>
      <w:sz w:val="18"/>
      <w:szCs w:val="18"/>
    </w:rPr>
  </w:style>
  <w:style w:type="paragraph" w:styleId="15">
    <w:name w:val="toc 1"/>
    <w:next w:val="1"/>
    <w:qFormat/>
    <w:uiPriority w:val="39"/>
    <w:pPr>
      <w:jc w:val="both"/>
    </w:pPr>
    <w:rPr>
      <w:rFonts w:ascii="宋体" w:hAnsi="Times New Roman" w:eastAsia="宋体" w:cs="Times New Roman"/>
      <w:sz w:val="21"/>
      <w:lang w:val="en-US" w:eastAsia="zh-CN" w:bidi="ar-SA"/>
    </w:rPr>
  </w:style>
  <w:style w:type="paragraph" w:styleId="16">
    <w:name w:val="toc 2"/>
    <w:basedOn w:val="15"/>
    <w:next w:val="1"/>
    <w:qFormat/>
    <w:uiPriority w:val="39"/>
    <w:pPr>
      <w:ind w:firstLine="1044" w:firstLineChars="200"/>
    </w:pPr>
    <w:rPr>
      <w:rFonts w:ascii="宋体" w:hAnsi="宋体" w:eastAsia="宋体"/>
    </w:rPr>
  </w:style>
  <w:style w:type="paragraph" w:styleId="17">
    <w:name w:val="Title"/>
    <w:basedOn w:val="1"/>
    <w:next w:val="1"/>
    <w:qFormat/>
    <w:uiPriority w:val="0"/>
    <w:pPr>
      <w:spacing w:before="240" w:after="60"/>
      <w:jc w:val="center"/>
      <w:outlineLvl w:val="0"/>
    </w:pPr>
    <w:rPr>
      <w:rFonts w:ascii="Arial" w:hAnsi="Arial"/>
      <w:b/>
      <w:bCs/>
      <w:sz w:val="32"/>
      <w:szCs w:val="32"/>
    </w:rPr>
  </w:style>
  <w:style w:type="paragraph" w:styleId="18">
    <w:name w:val="annotation subject"/>
    <w:basedOn w:val="8"/>
    <w:next w:val="8"/>
    <w:link w:val="40"/>
    <w:unhideWhenUsed/>
    <w:qFormat/>
    <w:uiPriority w:val="99"/>
    <w:rPr>
      <w:b/>
      <w:bCs/>
    </w:rPr>
  </w:style>
  <w:style w:type="table" w:styleId="20">
    <w:name w:val="Table Grid"/>
    <w:basedOn w:val="19"/>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qFormat/>
    <w:uiPriority w:val="0"/>
    <w:rPr>
      <w:rFonts w:ascii="Times New Roman" w:hAnsi="Times New Roman" w:eastAsia="宋体"/>
      <w:sz w:val="18"/>
    </w:rPr>
  </w:style>
  <w:style w:type="character" w:styleId="23">
    <w:name w:val="Hyperlink"/>
    <w:qFormat/>
    <w:uiPriority w:val="99"/>
    <w:rPr>
      <w:rFonts w:ascii="Times New Roman" w:hAnsi="Times New Roman" w:eastAsia="宋体"/>
      <w:color w:val="auto"/>
      <w:spacing w:val="0"/>
      <w:w w:val="100"/>
      <w:position w:val="0"/>
      <w:sz w:val="21"/>
      <w:u w:val="none"/>
      <w:vertAlign w:val="baseline"/>
    </w:rPr>
  </w:style>
  <w:style w:type="character" w:styleId="24">
    <w:name w:val="annotation reference"/>
    <w:basedOn w:val="21"/>
    <w:unhideWhenUsed/>
    <w:qFormat/>
    <w:uiPriority w:val="99"/>
    <w:rPr>
      <w:sz w:val="21"/>
      <w:szCs w:val="21"/>
    </w:rPr>
  </w:style>
  <w:style w:type="paragraph" w:customStyle="1" w:styleId="25">
    <w:name w:val="标准2级标题"/>
    <w:basedOn w:val="1"/>
    <w:next w:val="1"/>
    <w:qFormat/>
    <w:uiPriority w:val="0"/>
    <w:pPr>
      <w:widowControl/>
      <w:spacing w:before="120" w:after="120"/>
      <w:jc w:val="left"/>
      <w:outlineLvl w:val="1"/>
    </w:pPr>
    <w:rPr>
      <w:rFonts w:ascii="黑体" w:eastAsia="黑体"/>
      <w:kern w:val="0"/>
      <w:szCs w:val="20"/>
    </w:rPr>
  </w:style>
  <w:style w:type="character" w:customStyle="1" w:styleId="26">
    <w:name w:val="标题 1 Char"/>
    <w:basedOn w:val="21"/>
    <w:link w:val="3"/>
    <w:qFormat/>
    <w:uiPriority w:val="9"/>
    <w:rPr>
      <w:b/>
      <w:bCs/>
      <w:kern w:val="44"/>
      <w:sz w:val="44"/>
      <w:szCs w:val="44"/>
    </w:rPr>
  </w:style>
  <w:style w:type="paragraph" w:customStyle="1" w:styleId="27">
    <w:name w:val="标准1级标题"/>
    <w:basedOn w:val="1"/>
    <w:qFormat/>
    <w:uiPriority w:val="0"/>
    <w:pPr>
      <w:keepNext/>
      <w:keepLines/>
      <w:widowControl/>
      <w:spacing w:before="240" w:beforeLines="100" w:after="240" w:afterLines="100" w:line="416" w:lineRule="atLeast"/>
      <w:jc w:val="left"/>
      <w:outlineLvl w:val="0"/>
    </w:pPr>
    <w:rPr>
      <w:rFonts w:ascii="黑体" w:eastAsia="黑体"/>
      <w:kern w:val="0"/>
      <w:szCs w:val="20"/>
    </w:rPr>
  </w:style>
  <w:style w:type="character" w:customStyle="1" w:styleId="28">
    <w:name w:val="标题 2 Char"/>
    <w:basedOn w:val="21"/>
    <w:link w:val="4"/>
    <w:qFormat/>
    <w:uiPriority w:val="99"/>
    <w:rPr>
      <w:rFonts w:eastAsia="黑体"/>
      <w:bCs/>
      <w:kern w:val="2"/>
      <w:sz w:val="21"/>
      <w:szCs w:val="21"/>
    </w:rPr>
  </w:style>
  <w:style w:type="paragraph" w:customStyle="1" w:styleId="29">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0">
    <w:name w:val="二级条标题"/>
    <w:basedOn w:val="31"/>
    <w:next w:val="29"/>
    <w:qFormat/>
    <w:uiPriority w:val="0"/>
    <w:pPr>
      <w:outlineLvl w:val="3"/>
    </w:pPr>
  </w:style>
  <w:style w:type="paragraph" w:customStyle="1" w:styleId="31">
    <w:name w:val="一级条标题"/>
    <w:basedOn w:val="32"/>
    <w:next w:val="29"/>
    <w:qFormat/>
    <w:uiPriority w:val="0"/>
    <w:pPr>
      <w:spacing w:before="0" w:beforeLines="0" w:after="0" w:afterLines="0"/>
      <w:outlineLvl w:val="2"/>
    </w:pPr>
  </w:style>
  <w:style w:type="paragraph" w:customStyle="1" w:styleId="32">
    <w:name w:val="章标题"/>
    <w:next w:val="29"/>
    <w:qFormat/>
    <w:uiPriority w:val="0"/>
    <w:pPr>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33">
    <w:name w:val="标准正文"/>
    <w:basedOn w:val="1"/>
    <w:qFormat/>
    <w:uiPriority w:val="0"/>
    <w:pPr>
      <w:spacing w:line="320" w:lineRule="exact"/>
      <w:ind w:firstLine="420" w:firstLineChars="200"/>
    </w:pPr>
  </w:style>
  <w:style w:type="paragraph" w:customStyle="1" w:styleId="34">
    <w:name w:val="首行缩进"/>
    <w:basedOn w:val="1"/>
    <w:link w:val="44"/>
    <w:qFormat/>
    <w:uiPriority w:val="0"/>
    <w:pPr>
      <w:spacing w:line="300" w:lineRule="auto"/>
      <w:ind w:firstLine="420" w:firstLineChars="200"/>
    </w:pPr>
    <w:rPr>
      <w:rFonts w:eastAsia="方正书宋简体"/>
      <w:kern w:val="0"/>
      <w:sz w:val="20"/>
      <w:szCs w:val="20"/>
    </w:rPr>
  </w:style>
  <w:style w:type="paragraph" w:customStyle="1" w:styleId="35">
    <w:name w:val="三级条标题"/>
    <w:basedOn w:val="30"/>
    <w:next w:val="29"/>
    <w:qFormat/>
    <w:uiPriority w:val="0"/>
    <w:pPr>
      <w:outlineLvl w:val="4"/>
    </w:pPr>
  </w:style>
  <w:style w:type="paragraph" w:customStyle="1" w:styleId="36">
    <w:name w:val="四级条标题"/>
    <w:basedOn w:val="35"/>
    <w:next w:val="29"/>
    <w:qFormat/>
    <w:uiPriority w:val="0"/>
    <w:pPr>
      <w:outlineLvl w:val="5"/>
    </w:pPr>
    <w:rPr>
      <w:b w:val="0"/>
    </w:rPr>
  </w:style>
  <w:style w:type="paragraph" w:customStyle="1" w:styleId="37">
    <w:name w:val="_Style 17"/>
    <w:basedOn w:val="1"/>
    <w:qFormat/>
    <w:uiPriority w:val="34"/>
    <w:pPr>
      <w:ind w:firstLine="420" w:firstLineChars="200"/>
    </w:pPr>
  </w:style>
  <w:style w:type="character" w:customStyle="1" w:styleId="38">
    <w:name w:val="标题 4 Char"/>
    <w:basedOn w:val="21"/>
    <w:link w:val="6"/>
    <w:qFormat/>
    <w:uiPriority w:val="9"/>
    <w:rPr>
      <w:rFonts w:asciiTheme="majorHAnsi" w:hAnsiTheme="majorHAnsi" w:eastAsiaTheme="majorEastAsia" w:cstheme="majorBidi"/>
      <w:b/>
      <w:bCs/>
      <w:kern w:val="2"/>
      <w:sz w:val="28"/>
      <w:szCs w:val="28"/>
    </w:rPr>
  </w:style>
  <w:style w:type="character" w:customStyle="1" w:styleId="39">
    <w:name w:val="批注文字 Char"/>
    <w:basedOn w:val="21"/>
    <w:link w:val="8"/>
    <w:semiHidden/>
    <w:qFormat/>
    <w:uiPriority w:val="99"/>
    <w:rPr>
      <w:kern w:val="2"/>
      <w:sz w:val="21"/>
      <w:szCs w:val="24"/>
    </w:rPr>
  </w:style>
  <w:style w:type="character" w:customStyle="1" w:styleId="40">
    <w:name w:val="批注主题 Char"/>
    <w:basedOn w:val="39"/>
    <w:link w:val="18"/>
    <w:qFormat/>
    <w:uiPriority w:val="99"/>
    <w:rPr>
      <w:b/>
      <w:bCs/>
      <w:kern w:val="2"/>
      <w:sz w:val="21"/>
      <w:szCs w:val="24"/>
    </w:rPr>
  </w:style>
  <w:style w:type="character" w:customStyle="1" w:styleId="41">
    <w:name w:val="纯文本 Char"/>
    <w:basedOn w:val="21"/>
    <w:link w:val="10"/>
    <w:qFormat/>
    <w:uiPriority w:val="99"/>
    <w:rPr>
      <w:rFonts w:ascii="宋体" w:hAnsi="Courier New" w:cstheme="minorBidi"/>
      <w:kern w:val="2"/>
      <w:sz w:val="21"/>
    </w:rPr>
  </w:style>
  <w:style w:type="character" w:customStyle="1" w:styleId="42">
    <w:name w:val="日期 Char"/>
    <w:basedOn w:val="21"/>
    <w:link w:val="11"/>
    <w:qFormat/>
    <w:uiPriority w:val="99"/>
    <w:rPr>
      <w:kern w:val="2"/>
      <w:sz w:val="21"/>
      <w:szCs w:val="24"/>
    </w:rPr>
  </w:style>
  <w:style w:type="character" w:customStyle="1" w:styleId="43">
    <w:name w:val="批注框文本 Char"/>
    <w:basedOn w:val="21"/>
    <w:link w:val="12"/>
    <w:qFormat/>
    <w:uiPriority w:val="99"/>
    <w:rPr>
      <w:kern w:val="2"/>
      <w:sz w:val="18"/>
      <w:szCs w:val="18"/>
    </w:rPr>
  </w:style>
  <w:style w:type="character" w:customStyle="1" w:styleId="44">
    <w:name w:val="首行缩进 Char"/>
    <w:link w:val="34"/>
    <w:qFormat/>
    <w:uiPriority w:val="0"/>
    <w:rPr>
      <w:rFonts w:eastAsia="方正书宋简体"/>
    </w:rPr>
  </w:style>
  <w:style w:type="character" w:customStyle="1" w:styleId="45">
    <w:name w:val="页眉 Char"/>
    <w:link w:val="14"/>
    <w:qFormat/>
    <w:uiPriority w:val="99"/>
    <w:rPr>
      <w:kern w:val="2"/>
      <w:sz w:val="18"/>
      <w:szCs w:val="18"/>
    </w:rPr>
  </w:style>
  <w:style w:type="paragraph" w:customStyle="1" w:styleId="46">
    <w:name w:val="列出段落1"/>
    <w:basedOn w:val="1"/>
    <w:qFormat/>
    <w:uiPriority w:val="99"/>
    <w:pPr>
      <w:ind w:firstLine="420" w:firstLineChars="200"/>
    </w:pPr>
  </w:style>
  <w:style w:type="paragraph" w:customStyle="1" w:styleId="47">
    <w:name w:val="列出段落2"/>
    <w:basedOn w:val="1"/>
    <w:unhideWhenUsed/>
    <w:qFormat/>
    <w:uiPriority w:val="99"/>
    <w:pPr>
      <w:ind w:firstLine="420" w:firstLineChars="200"/>
    </w:pPr>
  </w:style>
  <w:style w:type="paragraph" w:customStyle="1" w:styleId="48">
    <w:name w:val="_Style 3"/>
    <w:basedOn w:val="1"/>
    <w:qFormat/>
    <w:uiPriority w:val="34"/>
    <w:pPr>
      <w:ind w:firstLine="420" w:firstLineChars="200"/>
    </w:pPr>
    <w:rPr>
      <w:rFonts w:ascii="Calibri" w:hAnsi="Calibri"/>
      <w:szCs w:val="22"/>
    </w:rPr>
  </w:style>
  <w:style w:type="paragraph" w:styleId="49">
    <w:name w:val="List Paragraph"/>
    <w:basedOn w:val="1"/>
    <w:qFormat/>
    <w:uiPriority w:val="99"/>
    <w:pPr>
      <w:ind w:firstLine="420" w:firstLineChars="200"/>
    </w:p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image" Target="media/image13.png"/><Relationship Id="rId27" Type="http://schemas.openxmlformats.org/officeDocument/2006/relationships/image" Target="media/image12.png"/><Relationship Id="rId26" Type="http://schemas.openxmlformats.org/officeDocument/2006/relationships/image" Target="media/image11.png"/><Relationship Id="rId25" Type="http://schemas.openxmlformats.org/officeDocument/2006/relationships/image" Target="media/image10.jpeg"/><Relationship Id="rId24" Type="http://schemas.openxmlformats.org/officeDocument/2006/relationships/image" Target="media/image9.emf"/><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wmf"/><Relationship Id="rId17" Type="http://schemas.openxmlformats.org/officeDocument/2006/relationships/oleObject" Target="embeddings/oleObject2.bin"/><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10328</Words>
  <Characters>12514</Characters>
  <Lines>207</Lines>
  <Paragraphs>58</Paragraphs>
  <TotalTime>1</TotalTime>
  <ScaleCrop>false</ScaleCrop>
  <LinksUpToDate>false</LinksUpToDate>
  <CharactersWithSpaces>13092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2019-06-30T01:13:00Z</dcterms:created>
  <dc:creator>zhaofaqiang</dc:creator>
  <cp:lastModifiedBy>沈开程</cp:lastModifiedBy>
  <dcterms:modified xsi:type="dcterms:W3CDTF">2025-11-20T06:55:01Z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73B28A1B7AC74845AD1ACC1F34A77AB3</vt:lpwstr>
  </property>
  <property fmtid="{D5CDD505-2E9C-101B-9397-08002B2CF9AE}" pid="4" name="KSOTemplateDocerSaveRecord">
    <vt:lpwstr>eyJoZGlkIjoiNWRiN2EzOTIwNTFkMWRjYjlhM2M2MjEwMTAzOTAyMTAiLCJ1c2VySWQiOiIyMzk3NTc2MDAifQ==</vt:lpwstr>
  </property>
</Properties>
</file>